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CC5415">
      <w:pPr>
        <w:widowControl w:val="0"/>
        <w:numPr>
          <w:ilvl w:val="0"/>
          <w:numId w:val="0"/>
        </w:numPr>
        <w:tabs>
          <w:tab w:val="left" w:pos="4200"/>
        </w:tabs>
        <w:jc w:val="both"/>
        <w:rPr>
          <w:rFonts w:hint="eastAsia" w:ascii="仿宋_GB2312" w:eastAsia="仿宋_GB2312"/>
          <w:color w:val="auto"/>
          <w:sz w:val="32"/>
          <w:szCs w:val="32"/>
          <w:highlight w:val="none"/>
          <w:lang w:val="en-US" w:eastAsia="zh-CN"/>
        </w:rPr>
      </w:pPr>
    </w:p>
    <w:p w14:paraId="7744A18E">
      <w:pPr>
        <w:widowControl w:val="0"/>
        <w:numPr>
          <w:ilvl w:val="0"/>
          <w:numId w:val="0"/>
        </w:numPr>
        <w:tabs>
          <w:tab w:val="left" w:pos="4200"/>
        </w:tabs>
        <w:jc w:val="both"/>
        <w:rPr>
          <w:rFonts w:hint="eastAsia" w:ascii="仿宋_GB2312" w:eastAsia="仿宋_GB2312"/>
          <w:color w:val="auto"/>
          <w:sz w:val="32"/>
          <w:szCs w:val="32"/>
          <w:highlight w:val="none"/>
          <w:lang w:val="en-US" w:eastAsia="zh-CN"/>
        </w:rPr>
      </w:pPr>
    </w:p>
    <w:p w14:paraId="6FF2C6F2">
      <w:pPr>
        <w:spacing w:line="480" w:lineRule="exact"/>
        <w:ind w:firstLine="642"/>
        <w:jc w:val="center"/>
        <w:outlineLvl w:val="1"/>
        <w:rPr>
          <w:rFonts w:hint="default" w:ascii="仿宋_GB2312" w:eastAsia="仿宋_GB2312"/>
          <w:b/>
          <w:color w:val="auto"/>
          <w:sz w:val="32"/>
          <w:szCs w:val="32"/>
          <w:highlight w:val="none"/>
          <w:lang w:val="en-US" w:eastAsia="zh-CN"/>
        </w:rPr>
      </w:pPr>
      <w:r>
        <w:rPr>
          <w:rFonts w:hint="default" w:ascii="仿宋_GB2312" w:eastAsia="仿宋_GB2312"/>
          <w:b/>
          <w:color w:val="auto"/>
          <w:sz w:val="32"/>
          <w:szCs w:val="32"/>
          <w:highlight w:val="none"/>
          <w:u w:val="single"/>
          <w:lang w:val="en-US"/>
        </w:rPr>
        <w:t xml:space="preserve">    </w:t>
      </w:r>
      <w:r>
        <w:rPr>
          <w:rFonts w:hint="eastAsia" w:ascii="仿宋_GB2312" w:eastAsia="仿宋_GB2312"/>
          <w:b/>
          <w:color w:val="auto"/>
          <w:sz w:val="32"/>
          <w:szCs w:val="32"/>
          <w:highlight w:val="none"/>
        </w:rPr>
        <w:t>服务区汽修项目经营管理合同</w:t>
      </w:r>
    </w:p>
    <w:p w14:paraId="725742E7">
      <w:pPr>
        <w:spacing w:line="480" w:lineRule="exact"/>
        <w:ind w:firstLine="6020" w:firstLineChars="2150"/>
        <w:jc w:val="left"/>
        <w:rPr>
          <w:rFonts w:ascii="方正小标宋简体" w:eastAsia="方正小标宋简体"/>
          <w:color w:val="auto"/>
          <w:sz w:val="28"/>
          <w:szCs w:val="28"/>
          <w:highlight w:val="none"/>
        </w:rPr>
      </w:pPr>
      <w:r>
        <w:rPr>
          <w:rFonts w:hint="eastAsia" w:ascii="方正小标宋简体" w:eastAsia="方正小标宋简体"/>
          <w:color w:val="auto"/>
          <w:sz w:val="28"/>
          <w:szCs w:val="28"/>
          <w:highlight w:val="none"/>
          <w:lang w:val="en-US" w:eastAsia="zh-CN"/>
        </w:rPr>
        <w:t>编号：</w:t>
      </w:r>
      <w:r>
        <w:rPr>
          <w:rFonts w:hint="eastAsia" w:ascii="方正小标宋简体" w:eastAsia="方正小标宋简体"/>
          <w:color w:val="auto"/>
          <w:sz w:val="28"/>
          <w:szCs w:val="28"/>
          <w:highlight w:val="none"/>
        </w:rPr>
        <w:t>【】</w:t>
      </w:r>
    </w:p>
    <w:p w14:paraId="41788928">
      <w:pPr>
        <w:spacing w:line="480" w:lineRule="exact"/>
        <w:rPr>
          <w:rFonts w:ascii="仿宋_GB2312" w:eastAsia="仿宋_GB2312"/>
          <w:color w:val="auto"/>
          <w:sz w:val="24"/>
          <w:highlight w:val="none"/>
        </w:rPr>
      </w:pPr>
    </w:p>
    <w:p w14:paraId="38C0D6AA">
      <w:pPr>
        <w:spacing w:line="480" w:lineRule="exact"/>
        <w:rPr>
          <w:rFonts w:ascii="仿宋_GB2312" w:eastAsia="仿宋_GB2312"/>
          <w:color w:val="auto"/>
          <w:sz w:val="24"/>
          <w:highlight w:val="none"/>
        </w:rPr>
      </w:pPr>
      <w:r>
        <w:rPr>
          <w:rFonts w:hint="eastAsia" w:ascii="仿宋_GB2312" w:eastAsia="仿宋_GB2312"/>
          <w:color w:val="auto"/>
          <w:sz w:val="24"/>
          <w:highlight w:val="none"/>
        </w:rPr>
        <w:t>甲方：      服务区</w:t>
      </w:r>
    </w:p>
    <w:p w14:paraId="71F8AA41">
      <w:pPr>
        <w:spacing w:line="480" w:lineRule="exact"/>
        <w:rPr>
          <w:rFonts w:ascii="仿宋_GB2312" w:eastAsia="仿宋_GB2312"/>
          <w:color w:val="auto"/>
          <w:sz w:val="24"/>
          <w:highlight w:val="none"/>
        </w:rPr>
      </w:pPr>
      <w:r>
        <w:rPr>
          <w:rFonts w:hint="eastAsia" w:ascii="仿宋_GB2312" w:eastAsia="仿宋_GB2312"/>
          <w:color w:val="auto"/>
          <w:sz w:val="24"/>
          <w:highlight w:val="none"/>
        </w:rPr>
        <w:t>地址：</w:t>
      </w:r>
    </w:p>
    <w:p w14:paraId="4E942A01">
      <w:pPr>
        <w:spacing w:line="480" w:lineRule="exact"/>
        <w:rPr>
          <w:rFonts w:ascii="仿宋_GB2312" w:eastAsia="仿宋_GB2312"/>
          <w:color w:val="auto"/>
          <w:sz w:val="24"/>
          <w:highlight w:val="none"/>
        </w:rPr>
      </w:pPr>
      <w:r>
        <w:rPr>
          <w:rFonts w:hint="eastAsia" w:ascii="仿宋_GB2312" w:eastAsia="仿宋_GB2312"/>
          <w:color w:val="auto"/>
          <w:sz w:val="24"/>
          <w:highlight w:val="none"/>
        </w:rPr>
        <w:t>负责人：</w:t>
      </w:r>
    </w:p>
    <w:p w14:paraId="4CE72994">
      <w:pPr>
        <w:spacing w:line="480" w:lineRule="exact"/>
        <w:rPr>
          <w:rFonts w:ascii="仿宋_GB2312" w:eastAsia="仿宋_GB2312"/>
          <w:color w:val="auto"/>
          <w:sz w:val="24"/>
          <w:highlight w:val="none"/>
        </w:rPr>
      </w:pPr>
      <w:r>
        <w:rPr>
          <w:rFonts w:hint="eastAsia" w:ascii="仿宋_GB2312" w:eastAsia="仿宋_GB2312"/>
          <w:color w:val="auto"/>
          <w:sz w:val="24"/>
          <w:highlight w:val="none"/>
        </w:rPr>
        <w:t>（以下简称甲方）</w:t>
      </w:r>
    </w:p>
    <w:p w14:paraId="3D784EF2">
      <w:pPr>
        <w:spacing w:line="480" w:lineRule="exact"/>
        <w:rPr>
          <w:rFonts w:ascii="仿宋_GB2312" w:eastAsia="仿宋_GB2312"/>
          <w:color w:val="auto"/>
          <w:sz w:val="24"/>
          <w:highlight w:val="none"/>
        </w:rPr>
      </w:pPr>
    </w:p>
    <w:p w14:paraId="642D9091">
      <w:pPr>
        <w:spacing w:line="480" w:lineRule="exact"/>
        <w:rPr>
          <w:rFonts w:ascii="仿宋_GB2312" w:eastAsia="仿宋_GB2312"/>
          <w:color w:val="auto"/>
          <w:sz w:val="24"/>
          <w:highlight w:val="none"/>
        </w:rPr>
      </w:pPr>
      <w:r>
        <w:rPr>
          <w:rFonts w:hint="eastAsia" w:ascii="仿宋_GB2312" w:eastAsia="仿宋_GB2312"/>
          <w:color w:val="auto"/>
          <w:sz w:val="24"/>
          <w:highlight w:val="none"/>
        </w:rPr>
        <w:t>乙方：</w:t>
      </w:r>
    </w:p>
    <w:p w14:paraId="309A89D6">
      <w:pPr>
        <w:spacing w:line="480" w:lineRule="exact"/>
        <w:rPr>
          <w:rFonts w:ascii="仿宋_GB2312" w:eastAsia="仿宋_GB2312"/>
          <w:color w:val="auto"/>
          <w:sz w:val="24"/>
          <w:highlight w:val="none"/>
        </w:rPr>
      </w:pPr>
      <w:r>
        <w:rPr>
          <w:rFonts w:hint="eastAsia" w:ascii="仿宋_GB2312" w:eastAsia="仿宋_GB2312"/>
          <w:color w:val="auto"/>
          <w:sz w:val="24"/>
          <w:highlight w:val="none"/>
        </w:rPr>
        <w:t>地址：</w:t>
      </w:r>
    </w:p>
    <w:p w14:paraId="562C2659">
      <w:pPr>
        <w:spacing w:line="480" w:lineRule="exact"/>
        <w:rPr>
          <w:rFonts w:ascii="仿宋_GB2312" w:eastAsia="仿宋_GB2312"/>
          <w:color w:val="auto"/>
          <w:sz w:val="24"/>
          <w:highlight w:val="none"/>
        </w:rPr>
      </w:pPr>
      <w:r>
        <w:rPr>
          <w:rFonts w:hint="eastAsia" w:ascii="仿宋_GB2312" w:eastAsia="仿宋_GB2312"/>
          <w:color w:val="auto"/>
          <w:sz w:val="24"/>
          <w:highlight w:val="none"/>
        </w:rPr>
        <w:t>法定代表人：</w:t>
      </w:r>
    </w:p>
    <w:p w14:paraId="724EC397">
      <w:pPr>
        <w:spacing w:line="480" w:lineRule="exact"/>
        <w:rPr>
          <w:rFonts w:ascii="仿宋_GB2312" w:eastAsia="仿宋_GB2312"/>
          <w:color w:val="auto"/>
          <w:sz w:val="24"/>
          <w:highlight w:val="none"/>
        </w:rPr>
      </w:pPr>
      <w:r>
        <w:rPr>
          <w:rFonts w:hint="eastAsia" w:ascii="仿宋_GB2312" w:eastAsia="仿宋_GB2312"/>
          <w:color w:val="auto"/>
          <w:sz w:val="24"/>
          <w:highlight w:val="none"/>
        </w:rPr>
        <w:t>（以下简称乙方）</w:t>
      </w:r>
    </w:p>
    <w:p w14:paraId="1AD41365">
      <w:pPr>
        <w:spacing w:line="480" w:lineRule="exact"/>
        <w:rPr>
          <w:rFonts w:ascii="仿宋_GB2312" w:eastAsia="仿宋_GB2312"/>
          <w:color w:val="auto"/>
          <w:sz w:val="24"/>
          <w:highlight w:val="none"/>
        </w:rPr>
      </w:pPr>
    </w:p>
    <w:p w14:paraId="7E69AF3D">
      <w:pPr>
        <w:spacing w:line="46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为充分发挥高速公路服务区的功能，提升服务区的整体形象，更好地为过往司乘人员服务，根据《中华人民共和国</w:t>
      </w:r>
      <w:r>
        <w:rPr>
          <w:rFonts w:hint="eastAsia" w:ascii="仿宋_GB2312" w:eastAsia="仿宋_GB2312"/>
          <w:color w:val="auto"/>
          <w:sz w:val="24"/>
          <w:highlight w:val="none"/>
          <w:lang w:val="en-US" w:eastAsia="zh-CN"/>
        </w:rPr>
        <w:t>民法典</w:t>
      </w:r>
      <w:r>
        <w:rPr>
          <w:rFonts w:hint="eastAsia" w:ascii="仿宋_GB2312" w:eastAsia="仿宋_GB2312"/>
          <w:color w:val="auto"/>
          <w:sz w:val="24"/>
          <w:highlight w:val="none"/>
        </w:rPr>
        <w:t>》等法律法规，本着平等互利的原则，经甲、乙双方友好协商，就项目经营的事项达成如下协议：</w:t>
      </w:r>
    </w:p>
    <w:p w14:paraId="1351BFFF">
      <w:pPr>
        <w:spacing w:line="460" w:lineRule="exact"/>
        <w:ind w:firstLine="482" w:firstLineChars="200"/>
        <w:rPr>
          <w:rFonts w:ascii="仿宋_GB2312" w:eastAsia="仿宋_GB2312"/>
          <w:b/>
          <w:color w:val="auto"/>
          <w:sz w:val="24"/>
          <w:highlight w:val="none"/>
        </w:rPr>
      </w:pPr>
      <w:r>
        <w:rPr>
          <w:rFonts w:hint="eastAsia" w:ascii="仿宋_GB2312" w:eastAsia="仿宋_GB2312"/>
          <w:b/>
          <w:color w:val="auto"/>
          <w:sz w:val="24"/>
          <w:highlight w:val="none"/>
        </w:rPr>
        <w:t>一、经营场地</w:t>
      </w:r>
    </w:p>
    <w:p w14:paraId="0F0BB321">
      <w:pPr>
        <w:spacing w:line="46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位于高速公路服务区汽修项目由乙方负责经营，乙方使用的场地具体位置为：</w:t>
      </w:r>
      <w:r>
        <w:rPr>
          <w:rFonts w:hint="eastAsia" w:ascii="仿宋_GB2312" w:eastAsia="仿宋_GB2312"/>
          <w:color w:val="auto"/>
          <w:sz w:val="24"/>
          <w:highlight w:val="none"/>
          <w:lang w:val="en-US" w:eastAsia="zh-CN"/>
        </w:rPr>
        <w:t xml:space="preserve">                   </w:t>
      </w:r>
      <w:r>
        <w:rPr>
          <w:rFonts w:hint="eastAsia" w:ascii="仿宋_GB2312" w:eastAsia="仿宋_GB2312"/>
          <w:color w:val="auto"/>
          <w:sz w:val="24"/>
          <w:highlight w:val="none"/>
        </w:rPr>
        <w:t>，面积为：㎡，经营场地图纸作为合同附件。</w:t>
      </w:r>
    </w:p>
    <w:p w14:paraId="515F3E27">
      <w:pPr>
        <w:spacing w:line="460" w:lineRule="exact"/>
        <w:ind w:firstLine="482" w:firstLineChars="200"/>
        <w:rPr>
          <w:rFonts w:ascii="仿宋_GB2312" w:eastAsia="仿宋_GB2312"/>
          <w:b/>
          <w:color w:val="auto"/>
          <w:sz w:val="24"/>
          <w:highlight w:val="none"/>
        </w:rPr>
      </w:pPr>
      <w:r>
        <w:rPr>
          <w:rFonts w:hint="eastAsia" w:ascii="仿宋_GB2312" w:eastAsia="仿宋_GB2312"/>
          <w:b/>
          <w:color w:val="auto"/>
          <w:sz w:val="24"/>
          <w:highlight w:val="none"/>
        </w:rPr>
        <w:t>二、经营方式</w:t>
      </w:r>
    </w:p>
    <w:p w14:paraId="15FD7F08">
      <w:pPr>
        <w:spacing w:line="46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 乙方应在经营期间自主经营、自负盈亏、依法纳税，享有并承担经营期间与其经营活动有关的一切债权、债务。甲方不承担因乙方经营管理产生的任何责任。</w:t>
      </w:r>
    </w:p>
    <w:p w14:paraId="1D0F94D2">
      <w:pPr>
        <w:spacing w:line="46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2. 乙方在经营期间，自行办理相关行政许可审批、工商、卫生、税务登记等事宜，并保持上述证照的有效性。乙方不得利用本合同项下甲方的资产以任何形式对外进行融资或设立担保，不得以甲方名义从事任何经营活动，不得将经营项目全部或部分转让给第三方。</w:t>
      </w:r>
    </w:p>
    <w:p w14:paraId="19EBC028">
      <w:pPr>
        <w:spacing w:line="460" w:lineRule="exact"/>
        <w:ind w:firstLine="482" w:firstLineChars="200"/>
        <w:rPr>
          <w:rFonts w:ascii="仿宋_GB2312" w:eastAsia="仿宋_GB2312"/>
          <w:b/>
          <w:color w:val="auto"/>
          <w:sz w:val="24"/>
          <w:highlight w:val="none"/>
        </w:rPr>
      </w:pPr>
      <w:r>
        <w:rPr>
          <w:rFonts w:hint="eastAsia" w:ascii="仿宋_GB2312" w:eastAsia="仿宋_GB2312"/>
          <w:b/>
          <w:color w:val="auto"/>
          <w:sz w:val="24"/>
          <w:highlight w:val="none"/>
        </w:rPr>
        <w:t>三、经营项目</w:t>
      </w:r>
    </w:p>
    <w:p w14:paraId="79E5AC9E">
      <w:pPr>
        <w:spacing w:line="46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 乙方在经营期间有权经营的项目有：</w:t>
      </w:r>
      <w:r>
        <w:rPr>
          <w:rFonts w:hint="eastAsia" w:ascii="仿宋_GB2312" w:eastAsia="仿宋_GB2312"/>
          <w:color w:val="auto"/>
          <w:sz w:val="24"/>
          <w:highlight w:val="none"/>
          <w:lang w:val="en-US" w:eastAsia="zh-CN"/>
        </w:rPr>
        <w:t xml:space="preserve">                     </w:t>
      </w:r>
      <w:r>
        <w:rPr>
          <w:rFonts w:hint="eastAsia" w:ascii="新宋体" w:hAnsi="新宋体" w:eastAsia="新宋体" w:cs="新宋体"/>
          <w:color w:val="auto"/>
          <w:kern w:val="0"/>
          <w:sz w:val="24"/>
          <w:highlight w:val="none"/>
        </w:rPr>
        <w:t>。</w:t>
      </w:r>
    </w:p>
    <w:p w14:paraId="1422732A">
      <w:pPr>
        <w:spacing w:line="46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2. 乙方不得经营第三条第1款未列明的商品或服务，也不得从事与第三条第1款无关的活动。在对第三条第1款规定的商品或服务项目界限难以明确时，由甲方进行确定，乙方应无条件服从。</w:t>
      </w:r>
    </w:p>
    <w:p w14:paraId="1E0027D4">
      <w:pPr>
        <w:spacing w:line="46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3. 乙方增加或调整经营项目大类范围内的产品或服务，应书面报甲方，经甲方书面同意后，方可经营；对于新增或调整的产品或服务，甲方保留收回的权利。</w:t>
      </w:r>
    </w:p>
    <w:p w14:paraId="51415DAC">
      <w:pPr>
        <w:spacing w:line="51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4</w:t>
      </w:r>
      <w:r>
        <w:rPr>
          <w:rFonts w:ascii="仿宋_GB2312" w:eastAsia="仿宋_GB2312"/>
          <w:color w:val="auto"/>
          <w:sz w:val="24"/>
          <w:highlight w:val="none"/>
        </w:rPr>
        <w:t>.</w:t>
      </w:r>
      <w:r>
        <w:rPr>
          <w:rFonts w:hint="eastAsia" w:ascii="仿宋_GB2312" w:eastAsia="仿宋_GB2312"/>
          <w:color w:val="auto"/>
          <w:sz w:val="24"/>
          <w:highlight w:val="none"/>
          <w:lang w:val="en-US" w:eastAsia="zh-CN"/>
        </w:rPr>
        <w:t xml:space="preserve"> </w:t>
      </w:r>
      <w:r>
        <w:rPr>
          <w:rFonts w:hint="eastAsia" w:ascii="仿宋_GB2312" w:eastAsia="仿宋_GB2312"/>
          <w:color w:val="auto"/>
          <w:sz w:val="24"/>
          <w:highlight w:val="none"/>
        </w:rPr>
        <w:t>乙方</w:t>
      </w:r>
      <w:r>
        <w:rPr>
          <w:rFonts w:hint="eastAsia" w:eastAsia="仿宋_GB2312"/>
          <w:color w:val="auto"/>
          <w:sz w:val="24"/>
          <w:szCs w:val="21"/>
          <w:highlight w:val="none"/>
        </w:rPr>
        <w:t>应确保其开展的汽修项目须符合中华人民共和国交通运输行业标准《机动车维修服务规范》JT/T 816</w:t>
      </w:r>
      <w:r>
        <w:rPr>
          <w:rFonts w:eastAsia="仿宋_GB2312"/>
          <w:color w:val="auto"/>
          <w:sz w:val="24"/>
          <w:szCs w:val="21"/>
          <w:highlight w:val="none"/>
        </w:rPr>
        <w:t>-2011</w:t>
      </w:r>
      <w:r>
        <w:rPr>
          <w:rFonts w:hint="eastAsia" w:ascii="仿宋_GB2312" w:eastAsia="仿宋_GB2312"/>
          <w:color w:val="auto"/>
          <w:sz w:val="24"/>
          <w:highlight w:val="none"/>
        </w:rPr>
        <w:t>（以行业最新的版本为准，甲方不</w:t>
      </w:r>
      <w:r>
        <w:rPr>
          <w:rFonts w:hint="eastAsia" w:ascii="仿宋_GB2312" w:eastAsia="仿宋_GB2312"/>
          <w:bCs/>
          <w:color w:val="auto"/>
          <w:sz w:val="24"/>
          <w:highlight w:val="none"/>
        </w:rPr>
        <w:t>另行通知）</w:t>
      </w:r>
      <w:r>
        <w:rPr>
          <w:rFonts w:hint="eastAsia" w:eastAsia="仿宋_GB2312"/>
          <w:color w:val="auto"/>
          <w:sz w:val="24"/>
          <w:szCs w:val="21"/>
          <w:highlight w:val="none"/>
        </w:rPr>
        <w:t>相关规定，具有与维修作业项目有关的维修技术标准、工艺规范和技术资料，并取得《道路运输经营许可证》，且按核准资质提供维修服务。</w:t>
      </w:r>
    </w:p>
    <w:p w14:paraId="14F1A67F">
      <w:pPr>
        <w:spacing w:line="460" w:lineRule="exact"/>
        <w:ind w:firstLine="480" w:firstLineChars="200"/>
        <w:rPr>
          <w:rFonts w:ascii="仿宋_GB2312" w:eastAsia="仿宋_GB2312"/>
          <w:color w:val="auto"/>
          <w:sz w:val="24"/>
          <w:highlight w:val="none"/>
        </w:rPr>
      </w:pPr>
      <w:r>
        <w:rPr>
          <w:rFonts w:ascii="仿宋_GB2312" w:eastAsia="仿宋_GB2312"/>
          <w:color w:val="auto"/>
          <w:sz w:val="24"/>
          <w:highlight w:val="none"/>
        </w:rPr>
        <w:t>5</w:t>
      </w:r>
      <w:r>
        <w:rPr>
          <w:rFonts w:hint="eastAsia" w:ascii="仿宋_GB2312" w:eastAsia="仿宋_GB2312"/>
          <w:color w:val="auto"/>
          <w:sz w:val="24"/>
          <w:highlight w:val="none"/>
        </w:rPr>
        <w:t>. 国家有关</w:t>
      </w:r>
      <w:r>
        <w:rPr>
          <w:rFonts w:hint="eastAsia" w:ascii="仿宋_GB2312" w:eastAsia="仿宋_GB2312"/>
          <w:color w:val="auto"/>
          <w:sz w:val="24"/>
          <w:highlight w:val="none"/>
          <w:lang w:eastAsia="zh-CN"/>
        </w:rPr>
        <w:t>法律法规</w:t>
      </w:r>
      <w:r>
        <w:rPr>
          <w:rFonts w:hint="eastAsia" w:ascii="仿宋_GB2312" w:eastAsia="仿宋_GB2312"/>
          <w:color w:val="auto"/>
          <w:sz w:val="24"/>
          <w:highlight w:val="none"/>
        </w:rPr>
        <w:t>规定经营上述项目必须持有相关许可证的，乙方应申请获得许可后，方可经营。</w:t>
      </w:r>
    </w:p>
    <w:p w14:paraId="0C79CE16">
      <w:pPr>
        <w:spacing w:line="460" w:lineRule="exact"/>
        <w:ind w:firstLine="480" w:firstLineChars="200"/>
        <w:rPr>
          <w:rFonts w:ascii="仿宋_GB2312" w:eastAsia="仿宋_GB2312"/>
          <w:color w:val="auto"/>
          <w:sz w:val="24"/>
          <w:highlight w:val="none"/>
        </w:rPr>
      </w:pPr>
      <w:r>
        <w:rPr>
          <w:rFonts w:ascii="仿宋_GB2312" w:eastAsia="仿宋_GB2312"/>
          <w:color w:val="auto"/>
          <w:sz w:val="24"/>
          <w:highlight w:val="none"/>
        </w:rPr>
        <w:t>6</w:t>
      </w:r>
      <w:r>
        <w:rPr>
          <w:rFonts w:hint="eastAsia" w:ascii="仿宋_GB2312" w:eastAsia="仿宋_GB2312"/>
          <w:color w:val="auto"/>
          <w:sz w:val="24"/>
          <w:highlight w:val="none"/>
        </w:rPr>
        <w:t>. 乙方不得经营国家规定禁止经营的项目。</w:t>
      </w:r>
    </w:p>
    <w:p w14:paraId="7611C8ED">
      <w:pPr>
        <w:spacing w:line="460" w:lineRule="exact"/>
        <w:ind w:firstLine="480" w:firstLineChars="200"/>
        <w:rPr>
          <w:rFonts w:ascii="仿宋_GB2312" w:hAnsi="宋体" w:eastAsia="仿宋_GB2312"/>
          <w:color w:val="auto"/>
          <w:sz w:val="24"/>
          <w:highlight w:val="none"/>
        </w:rPr>
      </w:pPr>
      <w:r>
        <w:rPr>
          <w:rFonts w:ascii="仿宋_GB2312" w:eastAsia="仿宋_GB2312"/>
          <w:color w:val="auto"/>
          <w:sz w:val="24"/>
          <w:highlight w:val="none"/>
        </w:rPr>
        <w:t xml:space="preserve">7. </w:t>
      </w:r>
      <w:r>
        <w:rPr>
          <w:rFonts w:hint="eastAsia" w:ascii="仿宋_GB2312" w:eastAsia="仿宋_GB2312"/>
          <w:color w:val="auto"/>
          <w:sz w:val="24"/>
          <w:highlight w:val="none"/>
        </w:rPr>
        <w:t>乙方门店应严格</w:t>
      </w:r>
      <w:r>
        <w:rPr>
          <w:rFonts w:hint="eastAsia" w:ascii="仿宋_GB2312" w:hAnsi="宋体" w:eastAsia="仿宋_GB2312"/>
          <w:color w:val="auto"/>
          <w:sz w:val="24"/>
          <w:highlight w:val="none"/>
        </w:rPr>
        <w:t>执行浙江省商业集团有限公司管理相关规定，且所经营的产品</w:t>
      </w:r>
      <w:r>
        <w:rPr>
          <w:rFonts w:ascii="仿宋_GB2312" w:hAnsi="宋体" w:eastAsia="仿宋_GB2312"/>
          <w:color w:val="auto"/>
          <w:sz w:val="24"/>
          <w:highlight w:val="none"/>
        </w:rPr>
        <w:t>或服务</w:t>
      </w:r>
      <w:r>
        <w:rPr>
          <w:rFonts w:hint="eastAsia" w:ascii="仿宋_GB2312" w:hAnsi="宋体" w:eastAsia="仿宋_GB2312"/>
          <w:color w:val="auto"/>
          <w:sz w:val="24"/>
          <w:highlight w:val="none"/>
        </w:rPr>
        <w:t>价格必须经过乙方及甲方审核后才能实施，</w:t>
      </w:r>
      <w:r>
        <w:rPr>
          <w:rFonts w:hint="eastAsia" w:eastAsia="仿宋_GB2312"/>
          <w:color w:val="auto"/>
          <w:sz w:val="24"/>
          <w:szCs w:val="21"/>
          <w:highlight w:val="none"/>
        </w:rPr>
        <w:t>确保汽修服务项目明码标价，收费合理。</w:t>
      </w:r>
      <w:r>
        <w:rPr>
          <w:rFonts w:hint="eastAsia" w:ascii="仿宋_GB2312" w:eastAsia="仿宋_GB2312"/>
          <w:color w:val="auto"/>
          <w:sz w:val="24"/>
          <w:highlight w:val="none"/>
        </w:rPr>
        <w:t>门店运营商</w:t>
      </w:r>
      <w:r>
        <w:rPr>
          <w:rFonts w:hint="eastAsia" w:eastAsia="仿宋_GB2312"/>
          <w:color w:val="auto"/>
          <w:sz w:val="24"/>
          <w:szCs w:val="21"/>
          <w:highlight w:val="none"/>
        </w:rPr>
        <w:t>应编制并公开主要维修项目及其工时收费表、服务规程等。</w:t>
      </w:r>
    </w:p>
    <w:p w14:paraId="76EA953B">
      <w:pPr>
        <w:spacing w:line="460" w:lineRule="exact"/>
        <w:ind w:firstLine="480" w:firstLineChars="200"/>
        <w:rPr>
          <w:rFonts w:hint="eastAsia" w:ascii="仿宋_GB2312" w:hAnsi="宋体" w:eastAsia="仿宋_GB2312"/>
          <w:color w:val="auto"/>
          <w:sz w:val="24"/>
          <w:highlight w:val="none"/>
        </w:rPr>
      </w:pPr>
      <w:r>
        <w:rPr>
          <w:rFonts w:ascii="仿宋_GB2312" w:eastAsia="仿宋_GB2312"/>
          <w:color w:val="auto"/>
          <w:sz w:val="24"/>
          <w:highlight w:val="none"/>
        </w:rPr>
        <w:t>8</w:t>
      </w:r>
      <w:r>
        <w:rPr>
          <w:rFonts w:hint="eastAsia" w:ascii="仿宋_GB2312" w:eastAsia="仿宋_GB2312"/>
          <w:color w:val="auto"/>
          <w:sz w:val="24"/>
          <w:highlight w:val="none"/>
        </w:rPr>
        <w:t>. 乙方应严格</w:t>
      </w:r>
      <w:r>
        <w:rPr>
          <w:rFonts w:hint="eastAsia" w:ascii="仿宋_GB2312" w:hAnsi="宋体" w:eastAsia="仿宋_GB2312"/>
          <w:color w:val="auto"/>
          <w:sz w:val="24"/>
          <w:highlight w:val="none"/>
        </w:rPr>
        <w:t>执行甲方的管理相关规定，且所经营的产品</w:t>
      </w:r>
      <w:r>
        <w:rPr>
          <w:rFonts w:ascii="仿宋_GB2312" w:hAnsi="宋体" w:eastAsia="仿宋_GB2312"/>
          <w:color w:val="auto"/>
          <w:sz w:val="24"/>
          <w:highlight w:val="none"/>
        </w:rPr>
        <w:t>或服务</w:t>
      </w:r>
      <w:r>
        <w:rPr>
          <w:rFonts w:hint="eastAsia" w:ascii="仿宋_GB2312" w:hAnsi="宋体" w:eastAsia="仿宋_GB2312"/>
          <w:color w:val="auto"/>
          <w:sz w:val="24"/>
          <w:highlight w:val="none"/>
        </w:rPr>
        <w:t>价格必须经过甲方审核后才能实施。</w:t>
      </w:r>
    </w:p>
    <w:p w14:paraId="165F9805">
      <w:pPr>
        <w:spacing w:line="460" w:lineRule="exact"/>
        <w:ind w:firstLine="480" w:firstLineChars="200"/>
        <w:rPr>
          <w:rFonts w:hint="default" w:ascii="仿宋_GB2312" w:hAnsi="宋体" w:eastAsia="仿宋_GB2312"/>
          <w:color w:val="auto"/>
          <w:sz w:val="24"/>
          <w:highlight w:val="none"/>
          <w:lang w:val="en-US" w:eastAsia="zh-CN"/>
        </w:rPr>
      </w:pPr>
      <w:r>
        <w:rPr>
          <w:rFonts w:hint="eastAsia" w:ascii="仿宋_GB2312" w:hAnsi="宋体" w:eastAsia="仿宋_GB2312"/>
          <w:color w:val="auto"/>
          <w:sz w:val="24"/>
          <w:highlight w:val="none"/>
          <w:lang w:val="en-US" w:eastAsia="zh-CN"/>
        </w:rPr>
        <w:t>9. 本项目加水业务应服从商业集团相应规划，根据统一收银要求实施。</w:t>
      </w:r>
    </w:p>
    <w:p w14:paraId="64640353">
      <w:pPr>
        <w:spacing w:line="460" w:lineRule="exact"/>
        <w:ind w:firstLine="482" w:firstLineChars="200"/>
        <w:rPr>
          <w:rFonts w:ascii="仿宋_GB2312" w:eastAsia="仿宋_GB2312"/>
          <w:b/>
          <w:color w:val="auto"/>
          <w:sz w:val="24"/>
          <w:highlight w:val="none"/>
        </w:rPr>
      </w:pPr>
      <w:r>
        <w:rPr>
          <w:rFonts w:hint="eastAsia" w:ascii="仿宋_GB2312" w:eastAsia="仿宋_GB2312"/>
          <w:b/>
          <w:color w:val="auto"/>
          <w:sz w:val="24"/>
          <w:highlight w:val="none"/>
        </w:rPr>
        <w:t>四、经营期限</w:t>
      </w:r>
    </w:p>
    <w:p w14:paraId="3F94FCF6">
      <w:pPr>
        <w:spacing w:line="46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合同期限自</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年</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月</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日起至</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年</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月</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日止（含装修期）。</w:t>
      </w:r>
    </w:p>
    <w:p w14:paraId="205008AD">
      <w:pPr>
        <w:spacing w:line="460" w:lineRule="exact"/>
        <w:ind w:firstLine="600" w:firstLineChars="250"/>
        <w:rPr>
          <w:rFonts w:ascii="仿宋_GB2312" w:eastAsia="仿宋_GB2312"/>
          <w:color w:val="auto"/>
          <w:sz w:val="24"/>
          <w:highlight w:val="none"/>
        </w:rPr>
      </w:pP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年</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月</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日至</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年</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月</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日为装修期，供乙方进行装修、设备安装调试和其他营业准备工作，乙方无需支付经营管理费，装修期内发生的水、电等费用由乙方自行承担。</w:t>
      </w:r>
    </w:p>
    <w:p w14:paraId="284E6C50">
      <w:pPr>
        <w:spacing w:line="460" w:lineRule="exact"/>
        <w:ind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如果乙方在装修期内开业，则装修期提前结束，开业日为经营管理费计算起始日，提前开业期间经营管理费按实际经营天数计算。如果乙方未在装修期内正常开业，应于本合同约定的装修期次日（</w:t>
      </w:r>
      <w:r>
        <w:rPr>
          <w:rFonts w:hint="eastAsia" w:ascii="仿宋_GB2312" w:hAnsi="宋体" w:eastAsia="仿宋_GB2312"/>
          <w:color w:val="auto"/>
          <w:sz w:val="24"/>
          <w:highlight w:val="none"/>
          <w:u w:val="none"/>
        </w:rPr>
        <w:t xml:space="preserve">    </w:t>
      </w:r>
      <w:r>
        <w:rPr>
          <w:rFonts w:hint="eastAsia" w:ascii="仿宋_GB2312" w:hAnsi="宋体" w:eastAsia="仿宋_GB2312"/>
          <w:color w:val="auto"/>
          <w:sz w:val="24"/>
          <w:highlight w:val="none"/>
        </w:rPr>
        <w:t>年</w:t>
      </w:r>
      <w:r>
        <w:rPr>
          <w:rFonts w:hint="eastAsia" w:ascii="仿宋_GB2312" w:hAnsi="宋体" w:eastAsia="仿宋_GB2312"/>
          <w:color w:val="auto"/>
          <w:sz w:val="24"/>
          <w:highlight w:val="none"/>
          <w:u w:val="none"/>
        </w:rPr>
        <w:t xml:space="preserve">    </w:t>
      </w:r>
      <w:r>
        <w:rPr>
          <w:rFonts w:hint="eastAsia" w:ascii="仿宋_GB2312" w:hAnsi="宋体" w:eastAsia="仿宋_GB2312"/>
          <w:color w:val="auto"/>
          <w:sz w:val="24"/>
          <w:highlight w:val="none"/>
        </w:rPr>
        <w:t>月</w:t>
      </w:r>
      <w:r>
        <w:rPr>
          <w:rFonts w:hint="eastAsia" w:ascii="仿宋_GB2312" w:hAnsi="宋体" w:eastAsia="仿宋_GB2312"/>
          <w:color w:val="auto"/>
          <w:sz w:val="24"/>
          <w:highlight w:val="none"/>
          <w:u w:val="none"/>
        </w:rPr>
        <w:t xml:space="preserve">    </w:t>
      </w:r>
      <w:r>
        <w:rPr>
          <w:rFonts w:hint="eastAsia" w:ascii="仿宋_GB2312" w:hAnsi="宋体" w:eastAsia="仿宋_GB2312"/>
          <w:color w:val="auto"/>
          <w:sz w:val="24"/>
          <w:highlight w:val="none"/>
        </w:rPr>
        <w:t>日）起开始计算经营管理费，但是上述合同期限终止时间并不因此改变。</w:t>
      </w:r>
      <w:r>
        <w:rPr>
          <w:rFonts w:hint="eastAsia" w:ascii="仿宋_GB2312" w:hAnsi="宋体" w:eastAsia="仿宋_GB2312" w:cstheme="minorBidi"/>
          <w:color w:val="auto"/>
          <w:sz w:val="24"/>
          <w:szCs w:val="24"/>
          <w:highlight w:val="none"/>
        </w:rPr>
        <w:t>如乙方未能在规定期限内开业的，甲方有权扣除</w:t>
      </w:r>
      <w:r>
        <w:rPr>
          <w:rFonts w:hint="eastAsia" w:ascii="仿宋_GB2312" w:hAnsi="宋体" w:eastAsia="仿宋_GB2312" w:cstheme="minorBidi"/>
          <w:color w:val="auto"/>
          <w:sz w:val="24"/>
          <w:szCs w:val="24"/>
          <w:highlight w:val="none"/>
          <w:lang w:val="en-US" w:eastAsia="zh-CN"/>
        </w:rPr>
        <w:t>合同</w:t>
      </w:r>
      <w:r>
        <w:rPr>
          <w:rFonts w:hint="eastAsia" w:ascii="仿宋_GB2312" w:hAnsi="宋体" w:eastAsia="仿宋_GB2312" w:cstheme="minorBidi"/>
          <w:color w:val="auto"/>
          <w:kern w:val="2"/>
          <w:sz w:val="24"/>
          <w:szCs w:val="24"/>
          <w:highlight w:val="none"/>
        </w:rPr>
        <w:t>履约</w:t>
      </w:r>
      <w:r>
        <w:rPr>
          <w:rFonts w:hint="eastAsia" w:ascii="仿宋_GB2312" w:hAnsi="宋体" w:eastAsia="仿宋_GB2312" w:cstheme="minorBidi"/>
          <w:color w:val="auto"/>
          <w:sz w:val="24"/>
          <w:szCs w:val="24"/>
          <w:highlight w:val="none"/>
        </w:rPr>
        <w:t>保证金，同时有权解除合同并由乙方承担相关经济责任和法律责任。</w:t>
      </w:r>
    </w:p>
    <w:p w14:paraId="17FD5175">
      <w:pPr>
        <w:spacing w:line="460" w:lineRule="exact"/>
        <w:ind w:firstLine="482" w:firstLineChars="200"/>
        <w:rPr>
          <w:rFonts w:ascii="仿宋_GB2312" w:eastAsia="仿宋_GB2312"/>
          <w:b/>
          <w:color w:val="auto"/>
          <w:sz w:val="24"/>
          <w:highlight w:val="none"/>
        </w:rPr>
      </w:pPr>
      <w:r>
        <w:rPr>
          <w:rFonts w:hint="eastAsia" w:ascii="仿宋_GB2312" w:eastAsia="仿宋_GB2312"/>
          <w:b/>
          <w:color w:val="auto"/>
          <w:sz w:val="24"/>
          <w:highlight w:val="none"/>
        </w:rPr>
        <w:t>五、经营管理费</w:t>
      </w:r>
    </w:p>
    <w:p w14:paraId="3225918E">
      <w:pPr>
        <w:spacing w:line="460" w:lineRule="exact"/>
        <w:ind w:firstLine="480" w:firstLineChars="200"/>
        <w:rPr>
          <w:rFonts w:hint="eastAsia" w:ascii="仿宋_GB2312" w:eastAsia="仿宋_GB2312"/>
          <w:color w:val="auto"/>
          <w:kern w:val="2"/>
          <w:sz w:val="24"/>
          <w:highlight w:val="none"/>
        </w:rPr>
      </w:pPr>
      <w:r>
        <w:rPr>
          <w:rFonts w:hint="eastAsia" w:ascii="仿宋_GB2312" w:eastAsia="仿宋_GB2312"/>
          <w:color w:val="auto"/>
          <w:kern w:val="2"/>
          <w:sz w:val="24"/>
          <w:highlight w:val="none"/>
        </w:rPr>
        <w:t>1. 经营管理费实行</w:t>
      </w:r>
      <w:r>
        <w:rPr>
          <w:rFonts w:hint="eastAsia" w:ascii="仿宋_GB2312" w:eastAsia="仿宋_GB2312"/>
          <w:color w:val="auto"/>
          <w:kern w:val="2"/>
          <w:sz w:val="24"/>
          <w:highlight w:val="none"/>
          <w:lang w:val="en-US" w:eastAsia="zh-CN"/>
        </w:rPr>
        <w:t>先付后用</w:t>
      </w:r>
      <w:r>
        <w:rPr>
          <w:rFonts w:hint="eastAsia" w:ascii="仿宋_GB2312" w:eastAsia="仿宋_GB2312"/>
          <w:color w:val="auto"/>
          <w:kern w:val="2"/>
          <w:sz w:val="24"/>
          <w:highlight w:val="none"/>
        </w:rPr>
        <w:t>，每一</w:t>
      </w:r>
      <w:r>
        <w:rPr>
          <w:rFonts w:hint="eastAsia" w:ascii="仿宋_GB2312" w:eastAsia="仿宋_GB2312"/>
          <w:color w:val="auto"/>
          <w:kern w:val="2"/>
          <w:sz w:val="24"/>
          <w:highlight w:val="none"/>
          <w:lang w:val="en-US" w:eastAsia="zh-CN"/>
        </w:rPr>
        <w:t>个</w:t>
      </w:r>
      <w:r>
        <w:rPr>
          <w:rFonts w:hint="eastAsia" w:ascii="仿宋_GB2312" w:eastAsia="仿宋_GB2312"/>
          <w:color w:val="auto"/>
          <w:kern w:val="2"/>
          <w:sz w:val="24"/>
          <w:highlight w:val="none"/>
        </w:rPr>
        <w:t>合同年度的经营管理费按</w:t>
      </w:r>
      <w:r>
        <w:rPr>
          <w:rFonts w:hint="eastAsia" w:ascii="仿宋_GB2312" w:eastAsia="仿宋_GB2312"/>
          <w:color w:val="auto"/>
          <w:kern w:val="2"/>
          <w:sz w:val="24"/>
          <w:highlight w:val="none"/>
          <w:lang w:val="en-US" w:eastAsia="zh-CN"/>
        </w:rPr>
        <w:t>年度</w:t>
      </w:r>
      <w:r>
        <w:rPr>
          <w:rFonts w:hint="eastAsia" w:ascii="仿宋_GB2312" w:eastAsia="仿宋_GB2312"/>
          <w:color w:val="auto"/>
          <w:kern w:val="2"/>
          <w:sz w:val="24"/>
          <w:highlight w:val="none"/>
        </w:rPr>
        <w:t>支付。乙方应于本合同</w:t>
      </w:r>
      <w:r>
        <w:rPr>
          <w:rFonts w:hint="eastAsia" w:ascii="仿宋_GB2312" w:eastAsia="仿宋_GB2312"/>
          <w:color w:val="auto"/>
          <w:kern w:val="2"/>
          <w:sz w:val="24"/>
          <w:highlight w:val="none"/>
          <w:lang w:val="en-US" w:eastAsia="zh-CN"/>
        </w:rPr>
        <w:t>每年度</w:t>
      </w:r>
      <w:r>
        <w:rPr>
          <w:rFonts w:hint="eastAsia" w:ascii="仿宋_GB2312" w:eastAsia="仿宋_GB2312"/>
          <w:color w:val="auto"/>
          <w:kern w:val="2"/>
          <w:sz w:val="24"/>
          <w:highlight w:val="none"/>
        </w:rPr>
        <w:t>开始前十五个工作日内支付经营管理费，合同期第一</w:t>
      </w:r>
      <w:r>
        <w:rPr>
          <w:rFonts w:hint="eastAsia" w:ascii="仿宋_GB2312" w:eastAsia="仿宋_GB2312"/>
          <w:color w:val="auto"/>
          <w:kern w:val="2"/>
          <w:sz w:val="24"/>
          <w:highlight w:val="none"/>
          <w:lang w:val="en-US" w:eastAsia="zh-CN"/>
        </w:rPr>
        <w:t>年度</w:t>
      </w:r>
      <w:r>
        <w:rPr>
          <w:rFonts w:hint="eastAsia" w:ascii="仿宋_GB2312" w:eastAsia="仿宋_GB2312"/>
          <w:color w:val="auto"/>
          <w:kern w:val="2"/>
          <w:sz w:val="24"/>
          <w:highlight w:val="none"/>
        </w:rPr>
        <w:t>在合同签订后七日内向甲方支付经营管理费共计</w:t>
      </w:r>
      <w:r>
        <w:rPr>
          <w:rFonts w:hint="eastAsia" w:ascii="仿宋_GB2312" w:eastAsia="仿宋_GB2312"/>
          <w:color w:val="auto"/>
          <w:kern w:val="2"/>
          <w:sz w:val="24"/>
          <w:highlight w:val="none"/>
          <w:lang w:val="en-US" w:eastAsia="zh-CN"/>
        </w:rPr>
        <w:t>XX</w:t>
      </w:r>
      <w:r>
        <w:rPr>
          <w:rFonts w:hint="eastAsia" w:ascii="仿宋_GB2312" w:eastAsia="仿宋_GB2312"/>
          <w:color w:val="auto"/>
          <w:kern w:val="2"/>
          <w:sz w:val="24"/>
          <w:highlight w:val="none"/>
        </w:rPr>
        <w:t>万元（大写：元）。</w:t>
      </w:r>
    </w:p>
    <w:p w14:paraId="7D09D059">
      <w:pPr>
        <w:spacing w:line="460" w:lineRule="exact"/>
        <w:ind w:firstLine="480" w:firstLineChars="200"/>
        <w:rPr>
          <w:rFonts w:hint="eastAsia" w:ascii="仿宋_GB2312" w:eastAsia="仿宋_GB2312"/>
          <w:color w:val="auto"/>
          <w:kern w:val="2"/>
          <w:sz w:val="24"/>
          <w:highlight w:val="none"/>
        </w:rPr>
      </w:pPr>
      <w:r>
        <w:rPr>
          <w:rFonts w:hint="eastAsia" w:ascii="仿宋_GB2312" w:eastAsia="仿宋_GB2312"/>
          <w:color w:val="auto"/>
          <w:kern w:val="2"/>
          <w:sz w:val="24"/>
          <w:highlight w:val="none"/>
        </w:rPr>
        <w:t>服务区项目经营期间经营管理费，详见下表：</w:t>
      </w:r>
    </w:p>
    <w:tbl>
      <w:tblPr>
        <w:tblStyle w:val="5"/>
        <w:tblpPr w:leftFromText="180" w:rightFromText="180" w:vertAnchor="text" w:horzAnchor="margin" w:tblpXSpec="center" w:tblpY="13"/>
        <w:tblOverlap w:val="never"/>
        <w:tblW w:w="92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7"/>
        <w:gridCol w:w="1690"/>
        <w:gridCol w:w="1854"/>
        <w:gridCol w:w="1711"/>
        <w:gridCol w:w="1711"/>
      </w:tblGrid>
      <w:tr w14:paraId="41F04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257" w:type="dxa"/>
            <w:vAlign w:val="center"/>
          </w:tcPr>
          <w:p w14:paraId="675B1090">
            <w:pPr>
              <w:snapToGrid w:val="0"/>
              <w:spacing w:line="460" w:lineRule="exact"/>
              <w:jc w:val="center"/>
              <w:rPr>
                <w:rFonts w:ascii="仿宋_GB2312" w:hAnsi="宋体" w:eastAsia="仿宋_GB2312"/>
                <w:color w:val="auto"/>
                <w:sz w:val="24"/>
                <w:highlight w:val="none"/>
                <w:lang w:val="en-GB"/>
              </w:rPr>
            </w:pPr>
            <w:r>
              <w:rPr>
                <w:rFonts w:hint="eastAsia" w:ascii="仿宋_GB2312" w:hAnsi="宋体" w:eastAsia="仿宋_GB2312"/>
                <w:color w:val="auto"/>
                <w:sz w:val="24"/>
                <w:highlight w:val="none"/>
                <w:lang w:val="en-GB"/>
              </w:rPr>
              <w:t>单位（万元）</w:t>
            </w:r>
          </w:p>
        </w:tc>
        <w:tc>
          <w:tcPr>
            <w:tcW w:w="1690" w:type="dxa"/>
            <w:vAlign w:val="center"/>
          </w:tcPr>
          <w:p w14:paraId="777200DC">
            <w:pPr>
              <w:snapToGrid w:val="0"/>
              <w:spacing w:line="460" w:lineRule="exact"/>
              <w:jc w:val="center"/>
              <w:rPr>
                <w:rFonts w:ascii="仿宋_GB2312" w:hAnsi="宋体" w:eastAsia="仿宋_GB2312"/>
                <w:color w:val="auto"/>
                <w:sz w:val="24"/>
                <w:highlight w:val="none"/>
                <w:lang w:val="en-GB"/>
              </w:rPr>
            </w:pPr>
            <w:r>
              <w:rPr>
                <w:rFonts w:hint="eastAsia" w:ascii="仿宋_GB2312" w:hAnsi="宋体" w:eastAsia="仿宋_GB2312"/>
                <w:color w:val="auto"/>
                <w:sz w:val="24"/>
                <w:highlight w:val="none"/>
                <w:lang w:val="en-GB"/>
              </w:rPr>
              <w:t>第一年</w:t>
            </w:r>
          </w:p>
        </w:tc>
        <w:tc>
          <w:tcPr>
            <w:tcW w:w="1854" w:type="dxa"/>
            <w:vAlign w:val="center"/>
          </w:tcPr>
          <w:p w14:paraId="6157AF2B">
            <w:pPr>
              <w:snapToGrid w:val="0"/>
              <w:spacing w:line="460" w:lineRule="exact"/>
              <w:jc w:val="center"/>
              <w:rPr>
                <w:rFonts w:ascii="仿宋_GB2312" w:hAnsi="宋体" w:eastAsia="仿宋_GB2312"/>
                <w:color w:val="auto"/>
                <w:sz w:val="24"/>
                <w:highlight w:val="none"/>
                <w:lang w:val="en-GB"/>
              </w:rPr>
            </w:pPr>
            <w:r>
              <w:rPr>
                <w:rFonts w:hint="eastAsia" w:ascii="仿宋_GB2312" w:hAnsi="宋体" w:eastAsia="仿宋_GB2312"/>
                <w:color w:val="auto"/>
                <w:sz w:val="24"/>
                <w:highlight w:val="none"/>
                <w:lang w:val="en-GB"/>
              </w:rPr>
              <w:t>第二年</w:t>
            </w:r>
          </w:p>
        </w:tc>
        <w:tc>
          <w:tcPr>
            <w:tcW w:w="1711" w:type="dxa"/>
            <w:vAlign w:val="center"/>
          </w:tcPr>
          <w:p w14:paraId="3D3754A9">
            <w:pPr>
              <w:snapToGrid w:val="0"/>
              <w:spacing w:line="460" w:lineRule="exact"/>
              <w:jc w:val="center"/>
              <w:rPr>
                <w:rFonts w:ascii="仿宋_GB2312" w:hAnsi="宋体" w:eastAsia="仿宋_GB2312"/>
                <w:color w:val="auto"/>
                <w:sz w:val="24"/>
                <w:highlight w:val="none"/>
                <w:lang w:val="en-GB"/>
              </w:rPr>
            </w:pPr>
            <w:r>
              <w:rPr>
                <w:rFonts w:hint="eastAsia" w:ascii="仿宋_GB2312" w:hAnsi="宋体" w:eastAsia="仿宋_GB2312"/>
                <w:color w:val="auto"/>
                <w:sz w:val="24"/>
                <w:highlight w:val="none"/>
                <w:lang w:val="en-GB"/>
              </w:rPr>
              <w:t>第三年</w:t>
            </w:r>
          </w:p>
        </w:tc>
        <w:tc>
          <w:tcPr>
            <w:tcW w:w="1711" w:type="dxa"/>
            <w:vAlign w:val="center"/>
          </w:tcPr>
          <w:p w14:paraId="4F7BF38F">
            <w:pPr>
              <w:snapToGrid w:val="0"/>
              <w:spacing w:line="460" w:lineRule="exact"/>
              <w:jc w:val="center"/>
              <w:rPr>
                <w:rFonts w:ascii="仿宋_GB2312" w:hAnsi="宋体" w:eastAsia="仿宋_GB2312"/>
                <w:color w:val="auto"/>
                <w:sz w:val="24"/>
                <w:highlight w:val="none"/>
                <w:lang w:val="en-GB"/>
              </w:rPr>
            </w:pPr>
            <w:r>
              <w:rPr>
                <w:rFonts w:hint="eastAsia" w:ascii="仿宋_GB2312" w:hAnsi="仿宋_GB2312" w:eastAsia="仿宋_GB2312" w:cs="仿宋_GB2312"/>
                <w:color w:val="auto"/>
                <w:sz w:val="24"/>
                <w:highlight w:val="none"/>
                <w:lang w:val="en-GB"/>
              </w:rPr>
              <w:t>总 额</w:t>
            </w:r>
          </w:p>
        </w:tc>
      </w:tr>
      <w:tr w14:paraId="2E4FA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257" w:type="dxa"/>
            <w:vAlign w:val="center"/>
          </w:tcPr>
          <w:p w14:paraId="5F673606">
            <w:pPr>
              <w:snapToGrid w:val="0"/>
              <w:spacing w:line="460" w:lineRule="exact"/>
              <w:jc w:val="center"/>
              <w:rPr>
                <w:rFonts w:ascii="仿宋_GB2312" w:hAnsi="宋体" w:eastAsia="仿宋_GB2312"/>
                <w:color w:val="auto"/>
                <w:sz w:val="24"/>
                <w:highlight w:val="none"/>
                <w:lang w:val="en-GB"/>
              </w:rPr>
            </w:pPr>
            <w:r>
              <w:rPr>
                <w:rFonts w:hint="eastAsia" w:ascii="仿宋_GB2312" w:hAnsi="宋体" w:eastAsia="仿宋_GB2312"/>
                <w:color w:val="auto"/>
                <w:sz w:val="24"/>
                <w:highlight w:val="none"/>
                <w:lang w:val="en-US" w:eastAsia="zh-CN"/>
              </w:rPr>
              <w:t>固定</w:t>
            </w:r>
            <w:r>
              <w:rPr>
                <w:rFonts w:hint="eastAsia" w:ascii="仿宋_GB2312" w:hAnsi="宋体" w:eastAsia="仿宋_GB2312"/>
                <w:color w:val="auto"/>
                <w:sz w:val="24"/>
                <w:highlight w:val="none"/>
                <w:lang w:val="en-GB"/>
              </w:rPr>
              <w:t>经营管理费</w:t>
            </w:r>
          </w:p>
        </w:tc>
        <w:tc>
          <w:tcPr>
            <w:tcW w:w="1690" w:type="dxa"/>
            <w:vAlign w:val="center"/>
          </w:tcPr>
          <w:p w14:paraId="142E1C72">
            <w:pPr>
              <w:snapToGrid w:val="0"/>
              <w:spacing w:line="460" w:lineRule="exact"/>
              <w:jc w:val="center"/>
              <w:rPr>
                <w:rFonts w:ascii="仿宋_GB2312" w:hAnsi="宋体" w:eastAsia="仿宋_GB2312"/>
                <w:color w:val="auto"/>
                <w:sz w:val="24"/>
                <w:highlight w:val="none"/>
                <w:lang w:val="en-GB"/>
              </w:rPr>
            </w:pPr>
          </w:p>
        </w:tc>
        <w:tc>
          <w:tcPr>
            <w:tcW w:w="1854" w:type="dxa"/>
            <w:vAlign w:val="center"/>
          </w:tcPr>
          <w:p w14:paraId="1D31CAF2">
            <w:pPr>
              <w:snapToGrid w:val="0"/>
              <w:spacing w:line="460" w:lineRule="exact"/>
              <w:jc w:val="center"/>
              <w:rPr>
                <w:rFonts w:ascii="仿宋_GB2312" w:hAnsi="宋体" w:eastAsia="仿宋_GB2312"/>
                <w:color w:val="auto"/>
                <w:sz w:val="24"/>
                <w:highlight w:val="none"/>
                <w:lang w:val="en-GB"/>
              </w:rPr>
            </w:pPr>
          </w:p>
        </w:tc>
        <w:tc>
          <w:tcPr>
            <w:tcW w:w="1711" w:type="dxa"/>
            <w:vAlign w:val="center"/>
          </w:tcPr>
          <w:p w14:paraId="32030FFB">
            <w:pPr>
              <w:snapToGrid w:val="0"/>
              <w:spacing w:line="460" w:lineRule="exact"/>
              <w:jc w:val="center"/>
              <w:rPr>
                <w:rFonts w:ascii="仿宋_GB2312" w:hAnsi="宋体" w:eastAsia="仿宋_GB2312"/>
                <w:color w:val="auto"/>
                <w:sz w:val="24"/>
                <w:highlight w:val="none"/>
                <w:lang w:val="en-GB"/>
              </w:rPr>
            </w:pPr>
          </w:p>
        </w:tc>
        <w:tc>
          <w:tcPr>
            <w:tcW w:w="1711" w:type="dxa"/>
            <w:vAlign w:val="center"/>
          </w:tcPr>
          <w:p w14:paraId="0D494557">
            <w:pPr>
              <w:snapToGrid w:val="0"/>
              <w:spacing w:line="460" w:lineRule="exact"/>
              <w:jc w:val="center"/>
              <w:rPr>
                <w:rFonts w:ascii="仿宋_GB2312" w:hAnsi="宋体" w:eastAsia="仿宋_GB2312"/>
                <w:color w:val="auto"/>
                <w:sz w:val="24"/>
                <w:highlight w:val="none"/>
                <w:lang w:val="en-GB"/>
              </w:rPr>
            </w:pPr>
          </w:p>
        </w:tc>
      </w:tr>
    </w:tbl>
    <w:p w14:paraId="03B3EC46">
      <w:pPr>
        <w:numPr>
          <w:ilvl w:val="-1"/>
          <w:numId w:val="0"/>
        </w:numPr>
        <w:spacing w:line="460" w:lineRule="exact"/>
        <w:ind w:firstLine="480" w:firstLineChars="200"/>
        <w:rPr>
          <w:rFonts w:hint="eastAsia" w:ascii="仿宋_GB2312" w:hAnsi="Times New Roman" w:eastAsia="仿宋_GB2312"/>
          <w:color w:val="auto"/>
          <w:sz w:val="24"/>
          <w:highlight w:val="none"/>
          <w:lang w:val="en-GB"/>
        </w:rPr>
      </w:pPr>
      <w:r>
        <w:rPr>
          <w:rFonts w:hint="eastAsia" w:ascii="仿宋_GB2312" w:hAnsi="Times New Roman" w:eastAsia="仿宋_GB2312"/>
          <w:color w:val="auto"/>
          <w:sz w:val="24"/>
          <w:highlight w:val="none"/>
          <w:lang w:val="en-US" w:eastAsia="zh-CN"/>
        </w:rPr>
        <w:t>2.</w:t>
      </w:r>
      <w:r>
        <w:rPr>
          <w:rFonts w:hint="eastAsia" w:ascii="仿宋_GB2312" w:hAnsi="Times New Roman" w:eastAsia="仿宋_GB2312"/>
          <w:color w:val="auto"/>
          <w:sz w:val="24"/>
          <w:highlight w:val="none"/>
          <w:lang w:val="en-GB"/>
        </w:rPr>
        <w:t>关于营业收入上报的要求：</w:t>
      </w:r>
    </w:p>
    <w:p w14:paraId="42896076">
      <w:pPr>
        <w:numPr>
          <w:ilvl w:val="-1"/>
          <w:numId w:val="0"/>
        </w:numPr>
        <w:spacing w:line="460" w:lineRule="exact"/>
        <w:ind w:firstLine="480" w:firstLineChars="200"/>
        <w:rPr>
          <w:rFonts w:hint="eastAsia" w:ascii="仿宋_GB2312" w:hAnsi="Times New Roman" w:eastAsia="仿宋_GB2312" w:cs="Times New Roman"/>
          <w:color w:val="auto"/>
          <w:sz w:val="24"/>
          <w:szCs w:val="24"/>
          <w:highlight w:val="none"/>
        </w:rPr>
      </w:pPr>
      <w:r>
        <w:rPr>
          <w:rFonts w:hint="eastAsia" w:ascii="仿宋_GB2312" w:hAnsi="Times New Roman" w:eastAsia="仿宋_GB2312" w:cs="Times New Roman"/>
          <w:color w:val="auto"/>
          <w:sz w:val="24"/>
          <w:szCs w:val="24"/>
          <w:highlight w:val="none"/>
          <w:lang w:eastAsia="zh-CN"/>
        </w:rPr>
        <w:t>（</w:t>
      </w:r>
      <w:r>
        <w:rPr>
          <w:rFonts w:hint="eastAsia" w:ascii="仿宋_GB2312" w:hAnsi="Times New Roman" w:eastAsia="仿宋_GB2312" w:cs="Times New Roman"/>
          <w:color w:val="auto"/>
          <w:sz w:val="24"/>
          <w:szCs w:val="24"/>
          <w:highlight w:val="none"/>
        </w:rPr>
        <w:t>1</w:t>
      </w:r>
      <w:r>
        <w:rPr>
          <w:rFonts w:hint="eastAsia" w:ascii="仿宋_GB2312" w:hAnsi="Times New Roman" w:eastAsia="仿宋_GB2312" w:cs="Times New Roman"/>
          <w:color w:val="auto"/>
          <w:sz w:val="24"/>
          <w:szCs w:val="24"/>
          <w:highlight w:val="none"/>
          <w:lang w:eastAsia="zh-CN"/>
        </w:rPr>
        <w:t>）</w:t>
      </w:r>
      <w:r>
        <w:rPr>
          <w:rFonts w:hint="eastAsia" w:ascii="仿宋_GB2312" w:hAnsi="Times New Roman" w:eastAsia="仿宋_GB2312" w:cs="Times New Roman"/>
          <w:color w:val="auto"/>
          <w:sz w:val="24"/>
          <w:szCs w:val="24"/>
          <w:highlight w:val="none"/>
        </w:rPr>
        <w:t>乙方必须将全部含税营业收入每日通过收银机接入浙江商业集团收银系统，因此而产生的全部费用由乙方承担，乙方必须提供浙江商业集团收银系统内所需的基础信息（包括但不限于营业执照、纳税人识别号、开户银行等）。乙方在经营过程中的每一笔销售必须与顾客签订维修协议并向顾客提供准确的收银小票。如未签订维修协议或未提供收银小票即视为违约行为。甲方实行收银小票违规行为举报奖励制度，如顾客举报乙方不提供收银小票或收银小票金额、内容与实际消费不符且经查实的，甲方将给予举报人人民币100元现金的奖励，此奖励费用由乙方承担，由甲方直接在乙方的合同履约保证金中扣除。</w:t>
      </w:r>
    </w:p>
    <w:p w14:paraId="27F38776">
      <w:pPr>
        <w:numPr>
          <w:ilvl w:val="-1"/>
          <w:numId w:val="0"/>
        </w:numPr>
        <w:spacing w:line="460" w:lineRule="exact"/>
        <w:ind w:firstLine="480" w:firstLineChars="200"/>
        <w:rPr>
          <w:rFonts w:hint="eastAsia" w:ascii="仿宋_GB2312" w:hAnsi="Times New Roman" w:eastAsia="仿宋_GB2312" w:cs="Times New Roman"/>
          <w:color w:val="auto"/>
          <w:sz w:val="24"/>
          <w:szCs w:val="24"/>
          <w:highlight w:val="none"/>
        </w:rPr>
      </w:pPr>
      <w:r>
        <w:rPr>
          <w:rFonts w:hint="eastAsia" w:ascii="仿宋_GB2312" w:hAnsi="Times New Roman" w:eastAsia="仿宋_GB2312" w:cs="Times New Roman"/>
          <w:color w:val="auto"/>
          <w:sz w:val="24"/>
          <w:szCs w:val="24"/>
          <w:highlight w:val="none"/>
          <w:lang w:eastAsia="zh-CN"/>
        </w:rPr>
        <w:t>（</w:t>
      </w:r>
      <w:r>
        <w:rPr>
          <w:rFonts w:hint="eastAsia" w:ascii="仿宋_GB2312" w:hAnsi="Times New Roman" w:eastAsia="仿宋_GB2312" w:cs="Times New Roman"/>
          <w:color w:val="auto"/>
          <w:sz w:val="24"/>
          <w:szCs w:val="24"/>
          <w:highlight w:val="none"/>
        </w:rPr>
        <w:t>2</w:t>
      </w:r>
      <w:r>
        <w:rPr>
          <w:rFonts w:hint="eastAsia" w:ascii="仿宋_GB2312" w:hAnsi="Times New Roman" w:eastAsia="仿宋_GB2312" w:cs="Times New Roman"/>
          <w:color w:val="auto"/>
          <w:sz w:val="24"/>
          <w:szCs w:val="24"/>
          <w:highlight w:val="none"/>
          <w:lang w:eastAsia="zh-CN"/>
        </w:rPr>
        <w:t>）</w:t>
      </w:r>
      <w:r>
        <w:rPr>
          <w:rFonts w:hint="eastAsia" w:ascii="仿宋_GB2312" w:hAnsi="Times New Roman" w:eastAsia="仿宋_GB2312" w:cs="Times New Roman"/>
          <w:color w:val="auto"/>
          <w:sz w:val="24"/>
          <w:szCs w:val="24"/>
          <w:highlight w:val="none"/>
        </w:rPr>
        <w:t>如发现乙方未按要求执行，乙方应按【1000】元/次处罚金或由甲方从合同履约保证金中扣除；一个合同年度内如发现乙方累计有3次以上该违约情形的，甲方有权单方解除合同并将乙方列入黑名单，取消乙方进驻浙江省商业集团有限公司下属服务区经营的资格。后期如遇甲方收银模式调整，乙方需予以配合执行。</w:t>
      </w:r>
    </w:p>
    <w:p w14:paraId="50D0A8B3">
      <w:pPr>
        <w:numPr>
          <w:ilvl w:val="-1"/>
          <w:numId w:val="0"/>
        </w:numPr>
        <w:spacing w:line="460" w:lineRule="exact"/>
        <w:ind w:firstLine="480" w:firstLineChars="200"/>
        <w:rPr>
          <w:rFonts w:hint="eastAsia" w:ascii="仿宋_GB2312" w:hAnsi="Times New Roman" w:eastAsia="仿宋_GB2312" w:cs="Times New Roman"/>
          <w:color w:val="auto"/>
          <w:sz w:val="24"/>
          <w:szCs w:val="24"/>
          <w:highlight w:val="none"/>
        </w:rPr>
      </w:pPr>
      <w:r>
        <w:rPr>
          <w:rFonts w:hint="eastAsia" w:ascii="仿宋_GB2312" w:hAnsi="Times New Roman" w:eastAsia="仿宋_GB2312" w:cs="Times New Roman"/>
          <w:color w:val="auto"/>
          <w:sz w:val="24"/>
          <w:szCs w:val="24"/>
          <w:highlight w:val="none"/>
          <w:lang w:eastAsia="zh-CN"/>
        </w:rPr>
        <w:t>（</w:t>
      </w:r>
      <w:r>
        <w:rPr>
          <w:rFonts w:hint="eastAsia" w:ascii="仿宋_GB2312" w:hAnsi="Times New Roman" w:eastAsia="仿宋_GB2312" w:cs="Times New Roman"/>
          <w:color w:val="auto"/>
          <w:sz w:val="24"/>
          <w:szCs w:val="24"/>
          <w:highlight w:val="none"/>
        </w:rPr>
        <w:t>3</w:t>
      </w:r>
      <w:r>
        <w:rPr>
          <w:rFonts w:hint="eastAsia" w:ascii="仿宋_GB2312" w:hAnsi="Times New Roman" w:eastAsia="仿宋_GB2312" w:cs="Times New Roman"/>
          <w:color w:val="auto"/>
          <w:sz w:val="24"/>
          <w:szCs w:val="24"/>
          <w:highlight w:val="none"/>
          <w:lang w:eastAsia="zh-CN"/>
        </w:rPr>
        <w:t>）</w:t>
      </w:r>
      <w:r>
        <w:rPr>
          <w:rFonts w:hint="eastAsia" w:ascii="仿宋_GB2312" w:hAnsi="Times New Roman" w:eastAsia="仿宋_GB2312" w:cs="Times New Roman"/>
          <w:color w:val="auto"/>
          <w:sz w:val="24"/>
          <w:szCs w:val="24"/>
          <w:highlight w:val="none"/>
        </w:rPr>
        <w:t>乙方同意甲方有权对乙方每月营业额报表、报税单、发票、每日POS机收银单或甲方认为乙方需要提供的其他资料作不定时的审查，乙方应积极配合。</w:t>
      </w:r>
    </w:p>
    <w:p w14:paraId="56A11786">
      <w:pPr>
        <w:snapToGrid w:val="0"/>
        <w:spacing w:line="460" w:lineRule="exact"/>
        <w:ind w:firstLine="480" w:firstLineChars="200"/>
        <w:rPr>
          <w:rFonts w:ascii="仿宋_GB2312" w:hAnsi="宋体" w:eastAsia="仿宋_GB2312"/>
          <w:color w:val="auto"/>
          <w:sz w:val="24"/>
          <w:highlight w:val="none"/>
          <w:lang w:val="en-GB"/>
        </w:rPr>
      </w:pPr>
      <w:r>
        <w:rPr>
          <w:rFonts w:hint="eastAsia" w:ascii="仿宋_GB2312" w:hAnsi="宋体" w:eastAsia="仿宋_GB2312"/>
          <w:color w:val="auto"/>
          <w:sz w:val="24"/>
          <w:highlight w:val="none"/>
          <w:lang w:val="en-GB" w:eastAsia="zh-CN"/>
        </w:rPr>
        <w:t>（</w:t>
      </w:r>
      <w:r>
        <w:rPr>
          <w:rFonts w:hint="eastAsia" w:ascii="仿宋_GB2312" w:hAnsi="宋体" w:eastAsia="仿宋_GB2312"/>
          <w:color w:val="auto"/>
          <w:sz w:val="24"/>
          <w:highlight w:val="none"/>
          <w:lang w:val="en-US" w:eastAsia="zh-CN"/>
        </w:rPr>
        <w:t>4</w:t>
      </w:r>
      <w:r>
        <w:rPr>
          <w:rFonts w:hint="eastAsia" w:ascii="仿宋_GB2312" w:hAnsi="宋体" w:eastAsia="仿宋_GB2312"/>
          <w:color w:val="auto"/>
          <w:sz w:val="24"/>
          <w:highlight w:val="none"/>
          <w:lang w:val="en-GB" w:eastAsia="zh-CN"/>
        </w:rPr>
        <w:t>）</w:t>
      </w:r>
      <w:r>
        <w:rPr>
          <w:rFonts w:hint="eastAsia" w:ascii="仿宋_GB2312" w:hAnsi="宋体" w:eastAsia="仿宋_GB2312"/>
          <w:color w:val="auto"/>
          <w:sz w:val="24"/>
          <w:highlight w:val="none"/>
          <w:lang w:val="en-US" w:eastAsia="zh-CN"/>
        </w:rPr>
        <w:t xml:space="preserve"> </w:t>
      </w:r>
      <w:r>
        <w:rPr>
          <w:rFonts w:ascii="仿宋_GB2312" w:hAnsi="宋体" w:eastAsia="仿宋_GB2312"/>
          <w:color w:val="auto"/>
          <w:sz w:val="24"/>
          <w:highlight w:val="none"/>
          <w:lang w:val="en-GB"/>
        </w:rPr>
        <w:t>本合同项下</w:t>
      </w:r>
      <w:r>
        <w:rPr>
          <w:rFonts w:hint="eastAsia" w:ascii="仿宋_GB2312" w:hAnsi="宋体" w:eastAsia="仿宋_GB2312"/>
          <w:color w:val="auto"/>
          <w:sz w:val="24"/>
          <w:highlight w:val="none"/>
          <w:lang w:val="en-GB"/>
        </w:rPr>
        <w:t>所涉</w:t>
      </w:r>
      <w:r>
        <w:rPr>
          <w:rFonts w:ascii="仿宋_GB2312" w:hAnsi="宋体" w:eastAsia="仿宋_GB2312"/>
          <w:color w:val="auto"/>
          <w:sz w:val="24"/>
          <w:highlight w:val="none"/>
          <w:lang w:val="en-GB"/>
        </w:rPr>
        <w:t>款项的收款账户信息如下：</w:t>
      </w:r>
      <w:r>
        <w:rPr>
          <w:rFonts w:hint="eastAsia" w:ascii="仿宋_GB2312" w:hAnsi="宋体" w:eastAsia="仿宋_GB2312"/>
          <w:color w:val="auto"/>
          <w:sz w:val="24"/>
          <w:highlight w:val="none"/>
          <w:lang w:val="en-GB" w:eastAsia="zh-CN"/>
        </w:rPr>
        <w:t>（</w:t>
      </w:r>
      <w:r>
        <w:rPr>
          <w:rFonts w:hint="eastAsia" w:ascii="仿宋_GB2312" w:hAnsi="宋体" w:eastAsia="仿宋_GB2312"/>
          <w:color w:val="auto"/>
          <w:sz w:val="24"/>
          <w:highlight w:val="none"/>
          <w:lang w:val="en-US" w:eastAsia="zh-CN"/>
        </w:rPr>
        <w:t>乙方指定收款账户须为合同签订单位，不得转包或委托收银）</w:t>
      </w:r>
      <w:r>
        <w:rPr>
          <w:rFonts w:ascii="仿宋_GB2312" w:hAnsi="宋体" w:eastAsia="仿宋_GB2312"/>
          <w:color w:val="auto"/>
          <w:sz w:val="24"/>
          <w:highlight w:val="none"/>
          <w:lang w:val="en-GB"/>
        </w:rPr>
        <w:t>：</w:t>
      </w:r>
    </w:p>
    <w:p w14:paraId="44486077">
      <w:pPr>
        <w:snapToGrid w:val="0"/>
        <w:spacing w:line="460" w:lineRule="exact"/>
        <w:ind w:firstLine="480" w:firstLineChars="200"/>
        <w:rPr>
          <w:rFonts w:ascii="仿宋_GB2312" w:hAnsi="宋体" w:eastAsia="仿宋_GB2312"/>
          <w:color w:val="auto"/>
          <w:sz w:val="24"/>
          <w:highlight w:val="none"/>
          <w:lang w:val="en-GB"/>
        </w:rPr>
      </w:pPr>
      <w:r>
        <w:rPr>
          <w:rFonts w:hint="eastAsia" w:ascii="仿宋_GB2312" w:hAnsi="宋体" w:eastAsia="仿宋_GB2312"/>
          <w:color w:val="auto"/>
          <w:sz w:val="24"/>
          <w:highlight w:val="none"/>
          <w:lang w:val="en-GB"/>
        </w:rPr>
        <w:t>甲方</w:t>
      </w:r>
      <w:r>
        <w:rPr>
          <w:rFonts w:ascii="仿宋_GB2312" w:hAnsi="宋体" w:eastAsia="仿宋_GB2312"/>
          <w:color w:val="auto"/>
          <w:sz w:val="24"/>
          <w:highlight w:val="none"/>
          <w:lang w:val="en-GB"/>
        </w:rPr>
        <w:t>指定收款账户：</w:t>
      </w:r>
    </w:p>
    <w:p w14:paraId="25485D98">
      <w:pPr>
        <w:snapToGrid w:val="0"/>
        <w:spacing w:line="460" w:lineRule="exact"/>
        <w:ind w:firstLine="480" w:firstLineChars="200"/>
        <w:rPr>
          <w:rFonts w:ascii="仿宋_GB2312" w:hAnsi="宋体" w:eastAsia="仿宋_GB2312"/>
          <w:color w:val="auto"/>
          <w:sz w:val="24"/>
          <w:highlight w:val="none"/>
          <w:lang w:val="en-GB"/>
        </w:rPr>
      </w:pPr>
      <w:r>
        <w:rPr>
          <w:rFonts w:hint="eastAsia" w:ascii="仿宋_GB2312" w:hAnsi="宋体" w:eastAsia="仿宋_GB2312"/>
          <w:color w:val="auto"/>
          <w:sz w:val="24"/>
          <w:highlight w:val="none"/>
          <w:lang w:val="en-GB"/>
        </w:rPr>
        <w:t>开户行</w:t>
      </w:r>
      <w:r>
        <w:rPr>
          <w:rFonts w:ascii="仿宋_GB2312" w:hAnsi="宋体" w:eastAsia="仿宋_GB2312"/>
          <w:color w:val="auto"/>
          <w:sz w:val="24"/>
          <w:highlight w:val="none"/>
          <w:lang w:val="en-GB"/>
        </w:rPr>
        <w:t>：     ；</w:t>
      </w:r>
    </w:p>
    <w:p w14:paraId="18D9E203">
      <w:pPr>
        <w:snapToGrid w:val="0"/>
        <w:spacing w:line="460" w:lineRule="exact"/>
        <w:ind w:firstLine="480" w:firstLineChars="200"/>
        <w:rPr>
          <w:rFonts w:ascii="仿宋_GB2312" w:hAnsi="宋体" w:eastAsia="仿宋_GB2312"/>
          <w:color w:val="auto"/>
          <w:sz w:val="24"/>
          <w:highlight w:val="none"/>
          <w:lang w:val="en-GB"/>
        </w:rPr>
      </w:pPr>
      <w:r>
        <w:rPr>
          <w:rFonts w:hint="eastAsia" w:ascii="仿宋_GB2312" w:hAnsi="宋体" w:eastAsia="仿宋_GB2312"/>
          <w:color w:val="auto"/>
          <w:sz w:val="24"/>
          <w:highlight w:val="none"/>
          <w:lang w:val="en-GB"/>
        </w:rPr>
        <w:t>户名</w:t>
      </w:r>
      <w:r>
        <w:rPr>
          <w:rFonts w:ascii="仿宋_GB2312" w:hAnsi="宋体" w:eastAsia="仿宋_GB2312"/>
          <w:color w:val="auto"/>
          <w:sz w:val="24"/>
          <w:highlight w:val="none"/>
          <w:lang w:val="en-GB"/>
        </w:rPr>
        <w:t>：        ；</w:t>
      </w:r>
    </w:p>
    <w:p w14:paraId="0C723102">
      <w:pPr>
        <w:snapToGrid w:val="0"/>
        <w:spacing w:line="460" w:lineRule="exact"/>
        <w:ind w:firstLine="480" w:firstLineChars="200"/>
        <w:rPr>
          <w:rFonts w:ascii="仿宋_GB2312" w:hAnsi="宋体" w:eastAsia="仿宋_GB2312"/>
          <w:color w:val="auto"/>
          <w:sz w:val="24"/>
          <w:highlight w:val="none"/>
          <w:lang w:val="en-GB"/>
        </w:rPr>
      </w:pPr>
      <w:r>
        <w:rPr>
          <w:rFonts w:hint="eastAsia" w:ascii="仿宋_GB2312" w:hAnsi="宋体" w:eastAsia="仿宋_GB2312"/>
          <w:color w:val="auto"/>
          <w:sz w:val="24"/>
          <w:highlight w:val="none"/>
          <w:lang w:val="en-GB"/>
        </w:rPr>
        <w:t>账号</w:t>
      </w:r>
      <w:r>
        <w:rPr>
          <w:rFonts w:ascii="仿宋_GB2312" w:hAnsi="宋体" w:eastAsia="仿宋_GB2312"/>
          <w:color w:val="auto"/>
          <w:sz w:val="24"/>
          <w:highlight w:val="none"/>
          <w:lang w:val="en-GB"/>
        </w:rPr>
        <w:t>：       ；</w:t>
      </w:r>
    </w:p>
    <w:p w14:paraId="7A891ADD">
      <w:pPr>
        <w:snapToGrid w:val="0"/>
        <w:spacing w:line="460" w:lineRule="exact"/>
        <w:ind w:firstLine="480" w:firstLineChars="200"/>
        <w:rPr>
          <w:rFonts w:ascii="仿宋_GB2312" w:hAnsi="宋体" w:eastAsia="仿宋_GB2312"/>
          <w:color w:val="auto"/>
          <w:sz w:val="24"/>
          <w:highlight w:val="none"/>
          <w:lang w:val="en-GB"/>
        </w:rPr>
      </w:pPr>
      <w:r>
        <w:rPr>
          <w:rFonts w:hint="eastAsia" w:ascii="仿宋_GB2312" w:hAnsi="宋体" w:eastAsia="仿宋_GB2312"/>
          <w:color w:val="auto"/>
          <w:sz w:val="24"/>
          <w:highlight w:val="none"/>
          <w:lang w:val="en-US" w:eastAsia="zh-CN"/>
        </w:rPr>
        <w:t>乙</w:t>
      </w:r>
      <w:r>
        <w:rPr>
          <w:rFonts w:hint="eastAsia" w:ascii="仿宋_GB2312" w:hAnsi="宋体" w:eastAsia="仿宋_GB2312"/>
          <w:color w:val="auto"/>
          <w:sz w:val="24"/>
          <w:highlight w:val="none"/>
          <w:lang w:val="en-GB"/>
        </w:rPr>
        <w:t>方</w:t>
      </w:r>
      <w:r>
        <w:rPr>
          <w:rFonts w:ascii="仿宋_GB2312" w:hAnsi="宋体" w:eastAsia="仿宋_GB2312"/>
          <w:color w:val="auto"/>
          <w:sz w:val="24"/>
          <w:highlight w:val="none"/>
          <w:lang w:val="en-GB"/>
        </w:rPr>
        <w:t>指定收款账户：</w:t>
      </w:r>
    </w:p>
    <w:p w14:paraId="3B40C908">
      <w:pPr>
        <w:snapToGrid w:val="0"/>
        <w:spacing w:line="460" w:lineRule="exact"/>
        <w:ind w:firstLine="480" w:firstLineChars="200"/>
        <w:rPr>
          <w:rFonts w:ascii="仿宋_GB2312" w:hAnsi="宋体" w:eastAsia="仿宋_GB2312"/>
          <w:color w:val="auto"/>
          <w:sz w:val="24"/>
          <w:highlight w:val="none"/>
          <w:lang w:val="en-GB"/>
        </w:rPr>
      </w:pPr>
      <w:r>
        <w:rPr>
          <w:rFonts w:hint="eastAsia" w:ascii="仿宋_GB2312" w:hAnsi="宋体" w:eastAsia="仿宋_GB2312"/>
          <w:color w:val="auto"/>
          <w:sz w:val="24"/>
          <w:highlight w:val="none"/>
          <w:lang w:val="en-GB"/>
        </w:rPr>
        <w:t>开户行</w:t>
      </w:r>
      <w:r>
        <w:rPr>
          <w:rFonts w:ascii="仿宋_GB2312" w:hAnsi="宋体" w:eastAsia="仿宋_GB2312"/>
          <w:color w:val="auto"/>
          <w:sz w:val="24"/>
          <w:highlight w:val="none"/>
          <w:lang w:val="en-GB"/>
        </w:rPr>
        <w:t>：     ；</w:t>
      </w:r>
    </w:p>
    <w:p w14:paraId="7962FA4D">
      <w:pPr>
        <w:snapToGrid w:val="0"/>
        <w:spacing w:line="460" w:lineRule="exact"/>
        <w:ind w:firstLine="480" w:firstLineChars="200"/>
        <w:rPr>
          <w:rFonts w:ascii="仿宋_GB2312" w:hAnsi="宋体" w:eastAsia="仿宋_GB2312"/>
          <w:color w:val="auto"/>
          <w:sz w:val="24"/>
          <w:highlight w:val="none"/>
          <w:lang w:val="en-GB"/>
        </w:rPr>
      </w:pPr>
      <w:r>
        <w:rPr>
          <w:rFonts w:hint="eastAsia" w:ascii="仿宋_GB2312" w:hAnsi="宋体" w:eastAsia="仿宋_GB2312"/>
          <w:color w:val="auto"/>
          <w:sz w:val="24"/>
          <w:highlight w:val="none"/>
          <w:lang w:val="en-GB"/>
        </w:rPr>
        <w:t>户名</w:t>
      </w:r>
      <w:r>
        <w:rPr>
          <w:rFonts w:ascii="仿宋_GB2312" w:hAnsi="宋体" w:eastAsia="仿宋_GB2312"/>
          <w:color w:val="auto"/>
          <w:sz w:val="24"/>
          <w:highlight w:val="none"/>
          <w:lang w:val="en-GB"/>
        </w:rPr>
        <w:t>：        ；</w:t>
      </w:r>
    </w:p>
    <w:p w14:paraId="061571B3">
      <w:pPr>
        <w:snapToGrid w:val="0"/>
        <w:spacing w:line="460" w:lineRule="exact"/>
        <w:ind w:firstLine="480" w:firstLineChars="200"/>
        <w:rPr>
          <w:rFonts w:ascii="仿宋_GB2312" w:hAnsi="宋体" w:eastAsia="仿宋_GB2312"/>
          <w:color w:val="auto"/>
          <w:sz w:val="24"/>
          <w:highlight w:val="none"/>
          <w:lang w:val="en-GB"/>
        </w:rPr>
      </w:pPr>
      <w:r>
        <w:rPr>
          <w:rFonts w:hint="eastAsia" w:ascii="仿宋_GB2312" w:hAnsi="宋体" w:eastAsia="仿宋_GB2312"/>
          <w:color w:val="auto"/>
          <w:sz w:val="24"/>
          <w:highlight w:val="none"/>
          <w:lang w:val="en-GB"/>
        </w:rPr>
        <w:t>账号</w:t>
      </w:r>
      <w:r>
        <w:rPr>
          <w:rFonts w:ascii="仿宋_GB2312" w:hAnsi="宋体" w:eastAsia="仿宋_GB2312"/>
          <w:color w:val="auto"/>
          <w:sz w:val="24"/>
          <w:highlight w:val="none"/>
          <w:lang w:val="en-GB"/>
        </w:rPr>
        <w:t>：       ；</w:t>
      </w:r>
    </w:p>
    <w:p w14:paraId="733EC9E7">
      <w:pPr>
        <w:spacing w:line="460" w:lineRule="exact"/>
        <w:ind w:firstLine="482" w:firstLineChars="200"/>
        <w:rPr>
          <w:rFonts w:ascii="仿宋_GB2312" w:eastAsia="仿宋_GB2312"/>
          <w:b/>
          <w:color w:val="auto"/>
          <w:sz w:val="24"/>
          <w:highlight w:val="none"/>
        </w:rPr>
      </w:pPr>
      <w:r>
        <w:rPr>
          <w:rFonts w:hint="eastAsia" w:ascii="仿宋_GB2312" w:eastAsia="仿宋_GB2312"/>
          <w:b/>
          <w:color w:val="auto"/>
          <w:sz w:val="24"/>
          <w:highlight w:val="none"/>
        </w:rPr>
        <w:t>六、水电费及其他费用</w:t>
      </w:r>
    </w:p>
    <w:p w14:paraId="06C4EFCF">
      <w:pPr>
        <w:spacing w:line="460" w:lineRule="exact"/>
        <w:ind w:firstLine="480" w:firstLineChars="200"/>
        <w:rPr>
          <w:rFonts w:ascii="仿宋_GB2312" w:hAnsi="宋体" w:eastAsia="仿宋_GB2312"/>
          <w:color w:val="auto"/>
          <w:sz w:val="24"/>
          <w:highlight w:val="none"/>
        </w:rPr>
      </w:pPr>
      <w:r>
        <w:rPr>
          <w:rFonts w:hint="eastAsia" w:ascii="仿宋_GB2312" w:eastAsia="仿宋_GB2312"/>
          <w:color w:val="auto"/>
          <w:sz w:val="24"/>
          <w:highlight w:val="none"/>
        </w:rPr>
        <w:t>水、电费收费标准：</w:t>
      </w:r>
      <w:r>
        <w:rPr>
          <w:rFonts w:hint="eastAsia" w:ascii="仿宋_GB2312" w:hAnsi="宋体" w:eastAsia="仿宋_GB2312"/>
          <w:color w:val="auto"/>
          <w:sz w:val="24"/>
          <w:highlight w:val="none"/>
        </w:rPr>
        <w:t>按乙方水表、电表实际发生额由乙方承担，并由乙方承担差率，水费结算价格为每吨元，电费结算价格为每度元，以上皆为含税价。若遇水电部门调整水电费，甲方将相应调整水电费结算单价。其中电力传送过程中的损耗按照店铺实际用电金额的</w:t>
      </w:r>
      <w:r>
        <w:rPr>
          <w:rFonts w:hint="eastAsia" w:ascii="仿宋_GB2312" w:hAnsi="宋体" w:eastAsia="仿宋_GB2312"/>
          <w:color w:val="auto"/>
          <w:sz w:val="24"/>
          <w:highlight w:val="none"/>
          <w:u w:val="single"/>
          <w:lang w:val="en-US" w:eastAsia="zh-CN"/>
        </w:rPr>
        <w:t xml:space="preserve">  </w:t>
      </w:r>
      <w:r>
        <w:rPr>
          <w:rFonts w:ascii="仿宋_GB2312" w:hAnsi="宋体" w:eastAsia="仿宋_GB2312"/>
          <w:color w:val="auto"/>
          <w:sz w:val="24"/>
          <w:highlight w:val="none"/>
        </w:rPr>
        <w:t>%标准加收损耗费</w:t>
      </w:r>
      <w:r>
        <w:rPr>
          <w:rFonts w:hint="eastAsia" w:ascii="仿宋_GB2312" w:hAnsi="宋体" w:eastAsia="仿宋_GB2312"/>
          <w:color w:val="auto"/>
          <w:sz w:val="24"/>
          <w:highlight w:val="none"/>
        </w:rPr>
        <w:t>。乙方应当在缴纳相关能源费用的同时将传送损耗费用一并向甲方缴纳。</w:t>
      </w:r>
      <w:r>
        <w:rPr>
          <w:rFonts w:ascii="仿宋_GB2312" w:hAnsi="宋体" w:eastAsia="仿宋_GB2312"/>
          <w:color w:val="auto"/>
          <w:sz w:val="24"/>
          <w:highlight w:val="none"/>
        </w:rPr>
        <w:t xml:space="preserve"> </w:t>
      </w:r>
    </w:p>
    <w:p w14:paraId="2DDA2826">
      <w:pPr>
        <w:spacing w:line="460" w:lineRule="exact"/>
        <w:ind w:firstLine="480" w:firstLineChars="200"/>
        <w:rPr>
          <w:rFonts w:ascii="仿宋_GB2312" w:hAnsi="宋体" w:eastAsia="仿宋_GB2312"/>
          <w:color w:val="auto"/>
          <w:sz w:val="24"/>
          <w:highlight w:val="none"/>
          <w:u w:val="single"/>
        </w:rPr>
      </w:pPr>
      <w:r>
        <w:rPr>
          <w:rFonts w:hint="eastAsia" w:ascii="仿宋_GB2312" w:hAnsi="宋体" w:eastAsia="仿宋_GB2312"/>
          <w:color w:val="auto"/>
          <w:sz w:val="24"/>
          <w:highlight w:val="none"/>
        </w:rPr>
        <w:t>其他费用：（如综合管理费等）</w:t>
      </w:r>
    </w:p>
    <w:p w14:paraId="31A073A7">
      <w:pPr>
        <w:spacing w:line="460" w:lineRule="exact"/>
        <w:ind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水电费及其他费用由甲方按月向乙方收取，乙方应于收到甲方通知后的三个工作日内支付上述费用。</w:t>
      </w:r>
    </w:p>
    <w:p w14:paraId="04DB9E66">
      <w:pPr>
        <w:spacing w:line="460" w:lineRule="exact"/>
        <w:ind w:firstLine="482" w:firstLineChars="200"/>
        <w:rPr>
          <w:rFonts w:hint="eastAsia" w:ascii="仿宋_GB2312" w:eastAsia="仿宋_GB2312"/>
          <w:b/>
          <w:color w:val="auto"/>
          <w:sz w:val="24"/>
          <w:highlight w:val="none"/>
          <w:lang w:eastAsia="zh-CN"/>
        </w:rPr>
      </w:pPr>
      <w:r>
        <w:rPr>
          <w:rFonts w:hint="eastAsia" w:ascii="仿宋_GB2312" w:eastAsia="仿宋_GB2312"/>
          <w:b/>
          <w:color w:val="auto"/>
          <w:sz w:val="24"/>
          <w:highlight w:val="none"/>
        </w:rPr>
        <w:t>七、履约保证金</w:t>
      </w:r>
    </w:p>
    <w:p w14:paraId="7BA774CC">
      <w:pPr>
        <w:numPr>
          <w:ilvl w:val="-1"/>
          <w:numId w:val="0"/>
        </w:numPr>
        <w:spacing w:line="460" w:lineRule="exact"/>
        <w:ind w:firstLine="480" w:firstLineChars="200"/>
        <w:rPr>
          <w:rFonts w:hint="eastAsia" w:ascii="仿宋_GB2312" w:eastAsia="仿宋_GB2312"/>
          <w:color w:val="auto"/>
          <w:sz w:val="24"/>
          <w:highlight w:val="none"/>
        </w:rPr>
      </w:pPr>
      <w:r>
        <w:rPr>
          <w:rFonts w:hint="eastAsia" w:ascii="仿宋_GB2312" w:eastAsia="仿宋_GB2312"/>
          <w:color w:val="auto"/>
          <w:sz w:val="24"/>
          <w:highlight w:val="none"/>
          <w:lang w:val="en-US" w:eastAsia="zh-CN"/>
        </w:rPr>
        <w:t>1</w:t>
      </w:r>
      <w:r>
        <w:rPr>
          <w:rFonts w:hint="eastAsia" w:ascii="仿宋_GB2312" w:eastAsia="仿宋_GB2312"/>
          <w:color w:val="auto"/>
          <w:sz w:val="24"/>
          <w:highlight w:val="none"/>
        </w:rPr>
        <w:t>. 乙方应在本合同签署前向甲方一次性支付履约保证金，收取标准为</w:t>
      </w:r>
      <w:r>
        <w:rPr>
          <w:rFonts w:hint="eastAsia" w:ascii="仿宋_GB2312" w:eastAsia="仿宋_GB2312"/>
          <w:color w:val="auto"/>
          <w:sz w:val="24"/>
          <w:highlight w:val="none"/>
          <w:lang w:val="en-US" w:eastAsia="zh-CN"/>
        </w:rPr>
        <w:t>首年</w:t>
      </w:r>
      <w:r>
        <w:rPr>
          <w:rFonts w:hint="eastAsia" w:ascii="仿宋_GB2312" w:eastAsia="仿宋_GB2312"/>
          <w:color w:val="auto"/>
          <w:sz w:val="24"/>
          <w:highlight w:val="none"/>
        </w:rPr>
        <w:t>的</w:t>
      </w:r>
      <w:r>
        <w:rPr>
          <w:rFonts w:hint="eastAsia" w:ascii="仿宋_GB2312" w:eastAsia="仿宋_GB2312"/>
          <w:color w:val="auto"/>
          <w:sz w:val="24"/>
          <w:highlight w:val="none"/>
          <w:lang w:val="en-US" w:eastAsia="zh-CN"/>
        </w:rPr>
        <w:t>固定</w:t>
      </w:r>
      <w:r>
        <w:rPr>
          <w:rFonts w:hint="eastAsia" w:ascii="仿宋_GB2312" w:eastAsia="仿宋_GB2312"/>
          <w:color w:val="auto"/>
          <w:sz w:val="24"/>
          <w:highlight w:val="none"/>
        </w:rPr>
        <w:t>经营管理费，合计为</w:t>
      </w:r>
      <w:r>
        <w:rPr>
          <w:rFonts w:hint="eastAsia" w:ascii="仿宋_GB2312" w:eastAsia="仿宋_GB2312"/>
          <w:b/>
          <w:color w:val="auto"/>
          <w:sz w:val="24"/>
          <w:highlight w:val="none"/>
        </w:rPr>
        <w:t>人民币</w:t>
      </w:r>
      <w:r>
        <w:rPr>
          <w:rFonts w:hint="eastAsia" w:ascii="仿宋_GB2312" w:eastAsia="仿宋_GB2312"/>
          <w:b/>
          <w:color w:val="auto"/>
          <w:sz w:val="24"/>
          <w:highlight w:val="none"/>
          <w:u w:val="single"/>
        </w:rPr>
        <w:t xml:space="preserve">    </w:t>
      </w:r>
      <w:r>
        <w:rPr>
          <w:rFonts w:hint="eastAsia" w:ascii="仿宋_GB2312" w:eastAsia="仿宋_GB2312"/>
          <w:b/>
          <w:color w:val="auto"/>
          <w:sz w:val="24"/>
          <w:highlight w:val="none"/>
        </w:rPr>
        <w:t>万元</w:t>
      </w:r>
      <w:r>
        <w:rPr>
          <w:rFonts w:hint="eastAsia" w:ascii="仿宋_GB2312" w:eastAsia="仿宋_GB2312"/>
          <w:color w:val="auto"/>
          <w:sz w:val="24"/>
          <w:highlight w:val="none"/>
        </w:rPr>
        <w:t>，对本合同履行过程中的事项，包括但不限于：经营管理费、服务质量、设施损坏、人身损害、甲方代收代缴费用、税款、违约赔偿金等进行担保。</w:t>
      </w:r>
    </w:p>
    <w:p w14:paraId="68B6E463">
      <w:pPr>
        <w:spacing w:line="46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lang w:val="en-US" w:eastAsia="zh-CN"/>
        </w:rPr>
        <w:t>2</w:t>
      </w:r>
      <w:r>
        <w:rPr>
          <w:rFonts w:hint="eastAsia" w:ascii="仿宋_GB2312" w:eastAsia="仿宋_GB2312"/>
          <w:color w:val="auto"/>
          <w:sz w:val="24"/>
          <w:highlight w:val="none"/>
        </w:rPr>
        <w:t>. 乙方的违约金额或其他应由乙方承担的金额，甲方有权直接在履约保证金中扣除。乙方应在甲方发出书面扣除通知之日起15日内，补足扣除额，以维持经营期间履约保证金的完整性。</w:t>
      </w:r>
    </w:p>
    <w:p w14:paraId="4664CF0F">
      <w:pPr>
        <w:spacing w:line="46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lang w:val="en-US" w:eastAsia="zh-CN"/>
        </w:rPr>
        <w:t>3</w:t>
      </w:r>
      <w:r>
        <w:rPr>
          <w:rFonts w:hint="eastAsia" w:ascii="仿宋_GB2312" w:eastAsia="仿宋_GB2312"/>
          <w:color w:val="auto"/>
          <w:sz w:val="24"/>
          <w:highlight w:val="none"/>
        </w:rPr>
        <w:t>. 因乙方原因导致合同提前解除的，乙方履约保证金不予退还，乙方还应承担由此造成的甲方经济损失，双方另有约定的除外。</w:t>
      </w:r>
    </w:p>
    <w:p w14:paraId="282FED85">
      <w:pPr>
        <w:spacing w:line="460" w:lineRule="exact"/>
        <w:ind w:firstLine="480" w:firstLineChars="200"/>
        <w:rPr>
          <w:rFonts w:hint="eastAsia" w:ascii="仿宋_GB2312" w:eastAsia="仿宋_GB2312"/>
          <w:color w:val="auto"/>
          <w:sz w:val="24"/>
          <w:highlight w:val="none"/>
        </w:rPr>
      </w:pPr>
      <w:r>
        <w:rPr>
          <w:rFonts w:hint="eastAsia" w:ascii="仿宋_GB2312" w:eastAsia="仿宋_GB2312"/>
          <w:color w:val="auto"/>
          <w:sz w:val="24"/>
          <w:highlight w:val="none"/>
          <w:lang w:val="en-US" w:eastAsia="zh-CN"/>
        </w:rPr>
        <w:t>4</w:t>
      </w:r>
      <w:r>
        <w:rPr>
          <w:rFonts w:hint="eastAsia" w:ascii="仿宋_GB2312" w:eastAsia="仿宋_GB2312"/>
          <w:color w:val="auto"/>
          <w:sz w:val="24"/>
          <w:highlight w:val="none"/>
        </w:rPr>
        <w:t>. 履约保证金不计利息。经营期限届满或终止之日起一个月内，</w:t>
      </w:r>
      <w:r>
        <w:rPr>
          <w:rFonts w:hint="eastAsia" w:ascii="仿宋_GB2312" w:eastAsia="仿宋_GB2312"/>
          <w:color w:val="auto"/>
          <w:sz w:val="24"/>
          <w:highlight w:val="none"/>
          <w:lang w:val="en-US" w:eastAsia="zh-CN"/>
        </w:rPr>
        <w:t>经甲方确认</w:t>
      </w:r>
      <w:r>
        <w:rPr>
          <w:rFonts w:hint="eastAsia" w:ascii="仿宋_GB2312" w:eastAsia="仿宋_GB2312"/>
          <w:color w:val="auto"/>
          <w:sz w:val="24"/>
          <w:highlight w:val="none"/>
        </w:rPr>
        <w:t>，如乙方未以甲方名义发生债权债务，并结清所有应付款项的，且乙方提供营业执照等证照注销证明的前提下，甲方将剩余履约保证金</w:t>
      </w:r>
      <w:r>
        <w:rPr>
          <w:rFonts w:ascii="仿宋_GB2312" w:eastAsia="仿宋_GB2312"/>
          <w:color w:val="auto"/>
          <w:sz w:val="24"/>
          <w:highlight w:val="none"/>
        </w:rPr>
        <w:t>无息</w:t>
      </w:r>
      <w:r>
        <w:rPr>
          <w:rFonts w:hint="eastAsia" w:ascii="仿宋_GB2312" w:eastAsia="仿宋_GB2312"/>
          <w:color w:val="auto"/>
          <w:sz w:val="24"/>
          <w:highlight w:val="none"/>
        </w:rPr>
        <w:t>返还给乙方。</w:t>
      </w:r>
    </w:p>
    <w:p w14:paraId="7D16177F">
      <w:pPr>
        <w:spacing w:line="460" w:lineRule="exact"/>
        <w:ind w:firstLine="482" w:firstLineChars="200"/>
        <w:rPr>
          <w:rFonts w:ascii="仿宋_GB2312" w:eastAsia="仿宋_GB2312"/>
          <w:color w:val="auto"/>
          <w:sz w:val="24"/>
          <w:highlight w:val="none"/>
        </w:rPr>
      </w:pPr>
      <w:r>
        <w:rPr>
          <w:rFonts w:hint="eastAsia" w:ascii="仿宋_GB2312" w:eastAsia="仿宋_GB2312"/>
          <w:b/>
          <w:color w:val="auto"/>
          <w:sz w:val="24"/>
          <w:highlight w:val="none"/>
          <w:lang w:val="en-US" w:eastAsia="zh-CN"/>
        </w:rPr>
        <w:t>八</w:t>
      </w:r>
      <w:r>
        <w:rPr>
          <w:rFonts w:hint="eastAsia" w:ascii="仿宋_GB2312" w:eastAsia="仿宋_GB2312"/>
          <w:b/>
          <w:color w:val="auto"/>
          <w:sz w:val="24"/>
          <w:highlight w:val="none"/>
        </w:rPr>
        <w:t>、服务区广告</w:t>
      </w:r>
    </w:p>
    <w:p w14:paraId="16E16EC4">
      <w:pPr>
        <w:spacing w:line="46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 服务区的广告发布权归甲方所有，但甲方发布广告不得影响乙方正常的经营活动。</w:t>
      </w:r>
    </w:p>
    <w:p w14:paraId="56BEE3B0">
      <w:pPr>
        <w:spacing w:line="46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2. 未经甲方同意，乙方不得在服务区内从事任何广告、促销活动或进行类似的宣传活动。乙方的行为是否属于上述行为范围，以甲方判定为准，乙方应当无条件服从。</w:t>
      </w:r>
    </w:p>
    <w:p w14:paraId="3E6A9063">
      <w:pPr>
        <w:spacing w:line="460" w:lineRule="exact"/>
        <w:ind w:firstLine="482" w:firstLineChars="200"/>
        <w:rPr>
          <w:rFonts w:ascii="仿宋_GB2312" w:eastAsia="仿宋_GB2312"/>
          <w:b/>
          <w:color w:val="auto"/>
          <w:sz w:val="24"/>
          <w:highlight w:val="none"/>
        </w:rPr>
      </w:pPr>
      <w:r>
        <w:rPr>
          <w:rFonts w:hint="eastAsia" w:ascii="仿宋_GB2312" w:eastAsia="仿宋_GB2312"/>
          <w:b/>
          <w:color w:val="auto"/>
          <w:sz w:val="24"/>
          <w:highlight w:val="none"/>
          <w:lang w:val="en-US" w:eastAsia="zh-CN"/>
        </w:rPr>
        <w:t>十</w:t>
      </w:r>
      <w:r>
        <w:rPr>
          <w:rFonts w:hint="eastAsia" w:ascii="仿宋_GB2312" w:eastAsia="仿宋_GB2312"/>
          <w:b/>
          <w:color w:val="auto"/>
          <w:sz w:val="24"/>
          <w:highlight w:val="none"/>
        </w:rPr>
        <w:t>、双方权利义务</w:t>
      </w:r>
    </w:p>
    <w:p w14:paraId="7EB858E6">
      <w:pPr>
        <w:tabs>
          <w:tab w:val="left" w:pos="3932"/>
        </w:tabs>
        <w:spacing w:line="46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 甲方的权利义务：</w:t>
      </w:r>
    </w:p>
    <w:p w14:paraId="10F68E7C">
      <w:pPr>
        <w:spacing w:line="46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（1）有权按本合同约定收取费用，包括但不限于：经营管理费、履约保证金</w:t>
      </w:r>
      <w:r>
        <w:rPr>
          <w:rFonts w:ascii="仿宋_GB2312" w:eastAsia="仿宋_GB2312"/>
          <w:color w:val="auto"/>
          <w:sz w:val="24"/>
          <w:highlight w:val="none"/>
        </w:rPr>
        <w:t>、</w:t>
      </w:r>
      <w:r>
        <w:rPr>
          <w:rFonts w:hint="eastAsia" w:ascii="仿宋_GB2312" w:eastAsia="仿宋_GB2312"/>
          <w:color w:val="auto"/>
          <w:sz w:val="24"/>
          <w:highlight w:val="none"/>
        </w:rPr>
        <w:t>水电费以及产生</w:t>
      </w:r>
      <w:r>
        <w:rPr>
          <w:rFonts w:ascii="仿宋_GB2312" w:eastAsia="仿宋_GB2312"/>
          <w:color w:val="auto"/>
          <w:sz w:val="24"/>
          <w:highlight w:val="none"/>
        </w:rPr>
        <w:t>的其他费用</w:t>
      </w:r>
      <w:r>
        <w:rPr>
          <w:rFonts w:hint="eastAsia" w:ascii="仿宋_GB2312" w:eastAsia="仿宋_GB2312"/>
          <w:color w:val="auto"/>
          <w:sz w:val="24"/>
          <w:highlight w:val="none"/>
        </w:rPr>
        <w:t>。</w:t>
      </w:r>
    </w:p>
    <w:p w14:paraId="39D6387E">
      <w:pPr>
        <w:spacing w:line="46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（2） 有权对乙方经营活动进行监督管理，并制订考核办法对乙方进行考核，包括但不限于：乙方的经营、管理、服务质量、环境卫生、安全生产、综合治理；有权要求乙方对不符</w:t>
      </w:r>
      <w:r>
        <w:rPr>
          <w:rFonts w:hint="eastAsia" w:ascii="仿宋_GB2312" w:eastAsia="仿宋_GB2312"/>
          <w:color w:val="auto"/>
          <w:sz w:val="24"/>
          <w:highlight w:val="none"/>
          <w:lang w:eastAsia="zh-CN"/>
        </w:rPr>
        <w:t>合事</w:t>
      </w:r>
      <w:r>
        <w:rPr>
          <w:rFonts w:hint="eastAsia" w:ascii="仿宋_GB2312" w:eastAsia="仿宋_GB2312"/>
          <w:color w:val="auto"/>
          <w:sz w:val="24"/>
          <w:highlight w:val="none"/>
        </w:rPr>
        <w:t>项限期整改。为了提升服务区的公共服务品质，甲方对乙方经营活动进行监督、管理、考核，但甲方不参与乙方的经营管理。</w:t>
      </w:r>
    </w:p>
    <w:p w14:paraId="6C70AEF9">
      <w:pPr>
        <w:spacing w:line="46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（3）有权对服务区内所有汽配商品或</w:t>
      </w:r>
      <w:r>
        <w:rPr>
          <w:rFonts w:ascii="仿宋_GB2312" w:eastAsia="仿宋_GB2312"/>
          <w:color w:val="auto"/>
          <w:sz w:val="24"/>
          <w:highlight w:val="none"/>
        </w:rPr>
        <w:t>服务</w:t>
      </w:r>
      <w:r>
        <w:rPr>
          <w:rFonts w:hint="eastAsia" w:ascii="仿宋_GB2312" w:eastAsia="仿宋_GB2312"/>
          <w:color w:val="auto"/>
          <w:sz w:val="24"/>
          <w:highlight w:val="none"/>
        </w:rPr>
        <w:t>销售进行实时监控和不定期抽查，有权要求乙方提供商品或服务的相关合同、供应渠道。</w:t>
      </w:r>
    </w:p>
    <w:p w14:paraId="6E44FE53">
      <w:pPr>
        <w:spacing w:line="46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（4）有权依法追究乙方违法、</w:t>
      </w:r>
      <w:r>
        <w:rPr>
          <w:rFonts w:ascii="仿宋_GB2312" w:eastAsia="仿宋_GB2312"/>
          <w:color w:val="auto"/>
          <w:sz w:val="24"/>
          <w:highlight w:val="none"/>
        </w:rPr>
        <w:t>违约、</w:t>
      </w:r>
      <w:r>
        <w:rPr>
          <w:rFonts w:hint="eastAsia" w:ascii="仿宋_GB2312" w:eastAsia="仿宋_GB2312"/>
          <w:color w:val="auto"/>
          <w:sz w:val="24"/>
          <w:highlight w:val="none"/>
        </w:rPr>
        <w:t>违规经营给甲方造成的损失。</w:t>
      </w:r>
    </w:p>
    <w:p w14:paraId="70F7381F">
      <w:pPr>
        <w:spacing w:line="46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（5）有权在现有服务区的基础上进一步扩建。</w:t>
      </w:r>
    </w:p>
    <w:p w14:paraId="257E84FA">
      <w:pPr>
        <w:spacing w:line="46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（6）</w:t>
      </w:r>
      <w:r>
        <w:rPr>
          <w:rFonts w:ascii="仿宋_GB2312" w:eastAsia="仿宋_GB2312"/>
          <w:color w:val="auto"/>
          <w:sz w:val="24"/>
          <w:highlight w:val="none"/>
        </w:rPr>
        <w:t>有权在</w:t>
      </w:r>
      <w:r>
        <w:rPr>
          <w:rFonts w:hint="eastAsia" w:ascii="仿宋_GB2312" w:eastAsia="仿宋_GB2312"/>
          <w:color w:val="auto"/>
          <w:sz w:val="24"/>
          <w:highlight w:val="none"/>
        </w:rPr>
        <w:t>经营</w:t>
      </w:r>
      <w:r>
        <w:rPr>
          <w:rFonts w:ascii="仿宋_GB2312" w:eastAsia="仿宋_GB2312"/>
          <w:color w:val="auto"/>
          <w:sz w:val="24"/>
          <w:highlight w:val="none"/>
        </w:rPr>
        <w:t>场所内布置</w:t>
      </w:r>
      <w:r>
        <w:rPr>
          <w:rFonts w:hint="eastAsia" w:ascii="仿宋_GB2312" w:hAnsi="宋体" w:eastAsia="仿宋_GB2312"/>
          <w:color w:val="auto"/>
          <w:sz w:val="24"/>
          <w:highlight w:val="none"/>
          <w:lang w:val="en-GB"/>
        </w:rPr>
        <w:t>高速</w:t>
      </w:r>
      <w:r>
        <w:rPr>
          <w:rFonts w:hint="eastAsia" w:ascii="仿宋_GB2312" w:hAnsi="宋体" w:eastAsia="仿宋_GB2312"/>
          <w:color w:val="auto"/>
          <w:sz w:val="24"/>
          <w:highlight w:val="none"/>
          <w:lang w:val="en-GB" w:eastAsia="zh-CN"/>
        </w:rPr>
        <w:t>路网</w:t>
      </w:r>
      <w:r>
        <w:rPr>
          <w:rFonts w:ascii="仿宋_GB2312" w:eastAsia="仿宋_GB2312"/>
          <w:color w:val="auto"/>
          <w:sz w:val="24"/>
          <w:highlight w:val="none"/>
        </w:rPr>
        <w:t>统一品牌的标识、标牌等。</w:t>
      </w:r>
    </w:p>
    <w:p w14:paraId="44FAF520">
      <w:pPr>
        <w:spacing w:line="46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（7）协助乙方将通讯、水、电接到指定区域，相关器材、人工等费用由乙方承担。</w:t>
      </w:r>
    </w:p>
    <w:p w14:paraId="1B5161A2">
      <w:pPr>
        <w:spacing w:line="46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（8）负责服务区的绿化、草坪、植物和建筑物、构筑物、灯具、音响的管养。</w:t>
      </w:r>
    </w:p>
    <w:p w14:paraId="6F9C5107">
      <w:pPr>
        <w:spacing w:line="46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2. 乙方的权利义务：</w:t>
      </w:r>
    </w:p>
    <w:p w14:paraId="25C55195">
      <w:pPr>
        <w:spacing w:line="46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（1）有权按合同约定的场地、方式、项目、期限，独立、自主地从事经营活动。</w:t>
      </w:r>
    </w:p>
    <w:p w14:paraId="1C55EF4D">
      <w:pPr>
        <w:spacing w:line="46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（2）合法经营，严格遵守《</w:t>
      </w:r>
      <w:r>
        <w:rPr>
          <w:rFonts w:hint="eastAsia" w:ascii="仿宋_GB2312" w:eastAsia="仿宋_GB2312"/>
          <w:color w:val="auto"/>
          <w:sz w:val="24"/>
          <w:highlight w:val="none"/>
          <w:lang w:eastAsia="zh-CN"/>
        </w:rPr>
        <w:t>中华人民共和国产品质量法</w:t>
      </w:r>
      <w:r>
        <w:rPr>
          <w:rFonts w:hint="eastAsia" w:ascii="仿宋_GB2312" w:eastAsia="仿宋_GB2312"/>
          <w:color w:val="auto"/>
          <w:sz w:val="24"/>
          <w:highlight w:val="none"/>
        </w:rPr>
        <w:t>》、《</w:t>
      </w:r>
      <w:r>
        <w:rPr>
          <w:rFonts w:hint="eastAsia" w:ascii="仿宋_GB2312" w:eastAsia="仿宋_GB2312"/>
          <w:color w:val="auto"/>
          <w:sz w:val="24"/>
          <w:highlight w:val="none"/>
          <w:lang w:eastAsia="zh-CN"/>
        </w:rPr>
        <w:t>中华人民共和国民法典</w:t>
      </w:r>
      <w:r>
        <w:rPr>
          <w:rFonts w:hint="eastAsia" w:ascii="仿宋_GB2312" w:eastAsia="仿宋_GB2312"/>
          <w:color w:val="auto"/>
          <w:sz w:val="24"/>
          <w:highlight w:val="none"/>
        </w:rPr>
        <w:t>》、《</w:t>
      </w:r>
      <w:r>
        <w:rPr>
          <w:rFonts w:hint="eastAsia" w:ascii="仿宋_GB2312" w:eastAsia="仿宋_GB2312"/>
          <w:color w:val="auto"/>
          <w:sz w:val="24"/>
          <w:highlight w:val="none"/>
          <w:lang w:eastAsia="zh-CN"/>
        </w:rPr>
        <w:t>中华人民共和国消防法</w:t>
      </w:r>
      <w:r>
        <w:rPr>
          <w:rFonts w:hint="eastAsia" w:ascii="仿宋_GB2312" w:eastAsia="仿宋_GB2312"/>
          <w:color w:val="auto"/>
          <w:sz w:val="24"/>
          <w:highlight w:val="none"/>
        </w:rPr>
        <w:t>》、《</w:t>
      </w:r>
      <w:r>
        <w:rPr>
          <w:rFonts w:hint="eastAsia" w:ascii="仿宋_GB2312" w:eastAsia="仿宋_GB2312"/>
          <w:color w:val="auto"/>
          <w:sz w:val="24"/>
          <w:highlight w:val="none"/>
          <w:lang w:eastAsia="zh-CN"/>
        </w:rPr>
        <w:t>中华人民共和国劳动法</w:t>
      </w:r>
      <w:r>
        <w:rPr>
          <w:rFonts w:hint="eastAsia" w:ascii="仿宋_GB2312" w:eastAsia="仿宋_GB2312"/>
          <w:color w:val="auto"/>
          <w:sz w:val="24"/>
          <w:highlight w:val="none"/>
        </w:rPr>
        <w:t>》等</w:t>
      </w:r>
      <w:r>
        <w:rPr>
          <w:rFonts w:hint="eastAsia" w:ascii="仿宋_GB2312" w:eastAsia="仿宋_GB2312"/>
          <w:color w:val="auto"/>
          <w:sz w:val="24"/>
          <w:highlight w:val="none"/>
          <w:lang w:eastAsia="zh-CN"/>
        </w:rPr>
        <w:t>法律法规</w:t>
      </w:r>
      <w:r>
        <w:rPr>
          <w:rFonts w:hint="eastAsia" w:ascii="仿宋_GB2312" w:eastAsia="仿宋_GB2312"/>
          <w:color w:val="auto"/>
          <w:sz w:val="24"/>
          <w:highlight w:val="none"/>
        </w:rPr>
        <w:t>的规定，遵守甲方的规章制度</w:t>
      </w:r>
      <w:r>
        <w:rPr>
          <w:rFonts w:ascii="仿宋_GB2312" w:eastAsia="仿宋_GB2312"/>
          <w:color w:val="auto"/>
          <w:sz w:val="24"/>
          <w:highlight w:val="none"/>
        </w:rPr>
        <w:t>以及本合同的约定</w:t>
      </w:r>
      <w:r>
        <w:rPr>
          <w:rFonts w:hint="eastAsia" w:ascii="仿宋_GB2312" w:eastAsia="仿宋_GB2312"/>
          <w:color w:val="auto"/>
          <w:sz w:val="24"/>
          <w:highlight w:val="none"/>
        </w:rPr>
        <w:t>，服从政府有关部门和甲方的督查管理和检查，对各类检查中发现的问题在服务区要求整改时间内整改完毕。</w:t>
      </w:r>
    </w:p>
    <w:p w14:paraId="540A91E7">
      <w:pPr>
        <w:spacing w:line="46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（3）遵守《</w:t>
      </w:r>
      <w:r>
        <w:rPr>
          <w:color w:val="auto"/>
          <w:highlight w:val="none"/>
        </w:rPr>
        <w:fldChar w:fldCharType="begin"/>
      </w:r>
      <w:r>
        <w:rPr>
          <w:color w:val="auto"/>
          <w:highlight w:val="none"/>
        </w:rPr>
        <w:instrText xml:space="preserve"> HYPERLINK "http://www.baidu.com/link?url=9sQHujUN1WsOZ62LNAzUrmivwXac3FF7gvxZpph0l9cF1e-Jl_R3cuOEHIE2_AWG&amp;wd=&amp;eqid=a83d0e7a0004e0ea000000045b0fa2ba" \t "_blank" </w:instrText>
      </w:r>
      <w:r>
        <w:rPr>
          <w:color w:val="auto"/>
          <w:highlight w:val="none"/>
        </w:rPr>
        <w:fldChar w:fldCharType="separate"/>
      </w:r>
      <w:r>
        <w:rPr>
          <w:rFonts w:hint="eastAsia" w:ascii="仿宋_GB2312" w:eastAsia="仿宋_GB2312"/>
          <w:color w:val="auto"/>
          <w:sz w:val="24"/>
          <w:highlight w:val="none"/>
        </w:rPr>
        <w:t>中华人民共和国税收征收管理法</w:t>
      </w:r>
      <w:r>
        <w:rPr>
          <w:rFonts w:hint="eastAsia" w:ascii="仿宋_GB2312" w:eastAsia="仿宋_GB2312"/>
          <w:color w:val="auto"/>
          <w:sz w:val="24"/>
          <w:highlight w:val="none"/>
        </w:rPr>
        <w:fldChar w:fldCharType="end"/>
      </w:r>
      <w:r>
        <w:rPr>
          <w:rFonts w:hint="eastAsia" w:ascii="仿宋_GB2312" w:eastAsia="仿宋_GB2312"/>
          <w:color w:val="auto"/>
          <w:sz w:val="24"/>
          <w:highlight w:val="none"/>
        </w:rPr>
        <w:t>》、《</w:t>
      </w:r>
      <w:r>
        <w:rPr>
          <w:color w:val="auto"/>
          <w:highlight w:val="none"/>
        </w:rPr>
        <w:fldChar w:fldCharType="begin"/>
      </w:r>
      <w:r>
        <w:rPr>
          <w:color w:val="auto"/>
          <w:highlight w:val="none"/>
        </w:rPr>
        <w:instrText xml:space="preserve"> HYPERLINK "http://www.baidu.com/link?url=6MnmXkXPRTShYcPlShwdspbYDC-RqlBPjUviK4Uh0USrOkrej_NDCkQy4s7IxnDc6ClBORtoEJhPygqmEvdQ73EpdVQMoIBfm4mcRVp6a5uwu8r-WgixAoNTdiJrT5knGmei1t5yXsDZFJm1ZPSR23Knj6NtEaQRSAb7AzbyJArJtYRLhQ4zjKu0qMLrRu5TFeVP0BBxWT3x2KA38_x-XvT4eBiCvuKTNPpX7c9fqv2P33sZQgb0xW7CkqO8a4Lzec1X3eCoj1ZPF2RuIm2pNPKbAt4eW7_SiFe_jJ7E_O3&amp;wd=&amp;eqid=a83d0e7a0004e0ea000000045b0fa2ba" \t "_blank" </w:instrText>
      </w:r>
      <w:r>
        <w:rPr>
          <w:color w:val="auto"/>
          <w:highlight w:val="none"/>
        </w:rPr>
        <w:fldChar w:fldCharType="separate"/>
      </w:r>
      <w:r>
        <w:rPr>
          <w:rFonts w:hint="eastAsia" w:ascii="仿宋_GB2312" w:eastAsia="仿宋_GB2312"/>
          <w:color w:val="auto"/>
          <w:sz w:val="24"/>
          <w:highlight w:val="none"/>
        </w:rPr>
        <w:t>中华人民共和国税收征收管理法实施细则</w:t>
      </w:r>
      <w:r>
        <w:rPr>
          <w:rFonts w:hint="eastAsia" w:ascii="仿宋_GB2312" w:eastAsia="仿宋_GB2312"/>
          <w:color w:val="auto"/>
          <w:sz w:val="24"/>
          <w:highlight w:val="none"/>
        </w:rPr>
        <w:fldChar w:fldCharType="end"/>
      </w:r>
      <w:r>
        <w:rPr>
          <w:rFonts w:hint="eastAsia" w:ascii="仿宋_GB2312" w:eastAsia="仿宋_GB2312"/>
          <w:color w:val="auto"/>
          <w:sz w:val="24"/>
          <w:highlight w:val="none"/>
        </w:rPr>
        <w:t>》、《高速公路服务区（停车区）服务管理规范》、《浙江省高速公路服务区管理暂行办法》、《浙江省高速公路星级文明服务区创建管理办法（试行）》、《</w:t>
      </w:r>
      <w:r>
        <w:rPr>
          <w:rFonts w:hint="eastAsia" w:ascii="仿宋_GB2312" w:eastAsia="仿宋_GB2312"/>
          <w:bCs/>
          <w:color w:val="auto"/>
          <w:sz w:val="24"/>
          <w:highlight w:val="none"/>
        </w:rPr>
        <w:t>浙江省高速公路星级文明服务区考核标准</w:t>
      </w:r>
      <w:r>
        <w:rPr>
          <w:rFonts w:hint="eastAsia" w:ascii="仿宋_GB2312" w:eastAsia="仿宋_GB2312"/>
          <w:color w:val="auto"/>
          <w:sz w:val="24"/>
          <w:highlight w:val="none"/>
        </w:rPr>
        <w:t>（试行）》、《高速驿网服务区服务人员规范化</w:t>
      </w:r>
      <w:r>
        <w:rPr>
          <w:rFonts w:hint="eastAsia" w:ascii="仿宋_GB2312" w:eastAsia="仿宋_GB2312"/>
          <w:bCs/>
          <w:color w:val="auto"/>
          <w:sz w:val="24"/>
          <w:highlight w:val="none"/>
        </w:rPr>
        <w:t>手册》、《合作商管理办法》、</w:t>
      </w:r>
      <w:r>
        <w:rPr>
          <w:rFonts w:ascii="仿宋_GB2312" w:eastAsia="仿宋_GB2312"/>
          <w:bCs/>
          <w:color w:val="auto"/>
          <w:sz w:val="24"/>
          <w:highlight w:val="none"/>
        </w:rPr>
        <w:t>《浙江省商业集团有限公司服务区价格规范管理办法》</w:t>
      </w:r>
      <w:r>
        <w:rPr>
          <w:rFonts w:hint="eastAsia" w:ascii="仿宋_GB2312" w:eastAsia="仿宋_GB2312"/>
          <w:bCs/>
          <w:color w:val="auto"/>
          <w:sz w:val="24"/>
          <w:highlight w:val="none"/>
        </w:rPr>
        <w:t>、《服务区现场管理手册》（</w:t>
      </w:r>
      <w:r>
        <w:rPr>
          <w:rFonts w:hint="eastAsia" w:ascii="仿宋_GB2312" w:eastAsia="仿宋_GB2312"/>
          <w:color w:val="auto"/>
          <w:sz w:val="24"/>
          <w:highlight w:val="none"/>
        </w:rPr>
        <w:t>以最新的版本为准，甲方不</w:t>
      </w:r>
      <w:r>
        <w:rPr>
          <w:rFonts w:hint="eastAsia" w:ascii="仿宋_GB2312" w:eastAsia="仿宋_GB2312"/>
          <w:bCs/>
          <w:color w:val="auto"/>
          <w:sz w:val="24"/>
          <w:highlight w:val="none"/>
        </w:rPr>
        <w:t>另行通知）等，严格管理、规范服务、</w:t>
      </w:r>
      <w:r>
        <w:rPr>
          <w:rFonts w:hint="eastAsia" w:ascii="仿宋_GB2312" w:eastAsia="仿宋_GB2312"/>
          <w:color w:val="auto"/>
          <w:sz w:val="24"/>
          <w:highlight w:val="none"/>
        </w:rPr>
        <w:t>礼貌待客，确保安全和环境整洁，并自觉维护服务区文明窗口形象。</w:t>
      </w:r>
    </w:p>
    <w:p w14:paraId="1B5BAC1C">
      <w:pPr>
        <w:spacing w:line="46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（4）乙方不得将经营项目转让给第三方经营。</w:t>
      </w:r>
    </w:p>
    <w:p w14:paraId="7EBC85AB">
      <w:pPr>
        <w:spacing w:line="46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（5）乙方承诺其经营期间，严格遵守国家法律法规，不发生社会综合治理事件。</w:t>
      </w:r>
    </w:p>
    <w:p w14:paraId="687D65C9">
      <w:pPr>
        <w:spacing w:line="460" w:lineRule="exact"/>
        <w:ind w:firstLine="480" w:firstLineChars="200"/>
        <w:rPr>
          <w:rFonts w:eastAsia="仿宋_GB2312"/>
          <w:color w:val="auto"/>
          <w:sz w:val="24"/>
          <w:szCs w:val="21"/>
          <w:highlight w:val="none"/>
        </w:rPr>
      </w:pPr>
      <w:r>
        <w:rPr>
          <w:rFonts w:hint="eastAsia" w:ascii="仿宋_GB2312" w:eastAsia="仿宋_GB2312"/>
          <w:color w:val="auto"/>
          <w:sz w:val="24"/>
          <w:highlight w:val="none"/>
        </w:rPr>
        <w:t>（6）乙方</w:t>
      </w:r>
      <w:r>
        <w:rPr>
          <w:rFonts w:hint="eastAsia" w:eastAsia="仿宋_GB2312"/>
          <w:color w:val="auto"/>
          <w:sz w:val="24"/>
          <w:szCs w:val="21"/>
          <w:highlight w:val="none"/>
        </w:rPr>
        <w:t>入驻甲方所辖服务区，其门店装修投入不低于该品牌汽修连锁门店装修标准，装修内容包括地面、墙面、吊顶、空调、照明、门窗、水电接入、店面外立面门头等（按实际要求），并定期修缮维护，保持整体形象。装修方案和预算经审批后实施，装修结果经服务区验收通过后方可开业。</w:t>
      </w:r>
    </w:p>
    <w:p w14:paraId="6D4EA937">
      <w:pPr>
        <w:pStyle w:val="2"/>
        <w:spacing w:line="460" w:lineRule="exact"/>
        <w:ind w:firstLine="480" w:firstLineChars="200"/>
        <w:rPr>
          <w:rFonts w:eastAsia="仿宋_GB2312"/>
          <w:color w:val="auto"/>
          <w:sz w:val="24"/>
          <w:szCs w:val="21"/>
          <w:highlight w:val="none"/>
        </w:rPr>
      </w:pPr>
      <w:r>
        <w:rPr>
          <w:rFonts w:hint="eastAsia" w:ascii="仿宋_GB2312" w:eastAsia="仿宋_GB2312"/>
          <w:color w:val="auto"/>
          <w:sz w:val="24"/>
          <w:highlight w:val="none"/>
        </w:rPr>
        <w:t>（7）乙方</w:t>
      </w:r>
      <w:r>
        <w:rPr>
          <w:rFonts w:hint="eastAsia" w:eastAsia="仿宋_GB2312"/>
          <w:color w:val="auto"/>
          <w:sz w:val="24"/>
          <w:szCs w:val="21"/>
          <w:highlight w:val="none"/>
        </w:rPr>
        <w:t>汽修门店应按维修范围将作业区分为备件区、轮胎作业区、地沟（大车）作业区、举升（小车）作业区等，备件区附设业务受理及费用结算台，设有客户休息室或休息处，门店内禁止自主立灶或进行炊事工作，禁止设立员工宿舍，仅允许设立值班室（专区设置，标识到位），供夜间值守人员休息，整体设施齐全，布置整洁有序。</w:t>
      </w:r>
    </w:p>
    <w:p w14:paraId="1BCBC166">
      <w:pPr>
        <w:spacing w:line="460" w:lineRule="exact"/>
        <w:ind w:firstLine="480" w:firstLineChars="200"/>
        <w:rPr>
          <w:rFonts w:eastAsia="仿宋_GB2312"/>
          <w:color w:val="auto"/>
          <w:sz w:val="24"/>
          <w:szCs w:val="21"/>
          <w:highlight w:val="none"/>
        </w:rPr>
      </w:pPr>
      <w:r>
        <w:rPr>
          <w:rFonts w:hint="eastAsia" w:ascii="仿宋_GB2312" w:eastAsia="仿宋_GB2312"/>
          <w:color w:val="auto"/>
          <w:sz w:val="24"/>
          <w:szCs w:val="24"/>
          <w:highlight w:val="none"/>
        </w:rPr>
        <w:t>（8）</w:t>
      </w:r>
      <w:r>
        <w:rPr>
          <w:rFonts w:hint="eastAsia" w:ascii="仿宋_GB2312" w:eastAsia="仿宋_GB2312"/>
          <w:color w:val="auto"/>
          <w:sz w:val="24"/>
          <w:highlight w:val="none"/>
        </w:rPr>
        <w:t>门店运营商</w:t>
      </w:r>
      <w:r>
        <w:rPr>
          <w:rFonts w:hint="eastAsia" w:eastAsia="仿宋_GB2312"/>
          <w:color w:val="auto"/>
          <w:sz w:val="24"/>
          <w:szCs w:val="21"/>
          <w:highlight w:val="none"/>
        </w:rPr>
        <w:t>须配备足额稳定的专业修理员工，且应经行业管理部门培训合格并持证上岗，认真执行汽修维修工艺规范及有关技术要求。</w:t>
      </w:r>
    </w:p>
    <w:p w14:paraId="3C3731AF">
      <w:pPr>
        <w:spacing w:line="46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w:t>
      </w:r>
      <w:r>
        <w:rPr>
          <w:rFonts w:ascii="仿宋_GB2312" w:eastAsia="仿宋_GB2312"/>
          <w:color w:val="auto"/>
          <w:sz w:val="24"/>
          <w:highlight w:val="none"/>
        </w:rPr>
        <w:t>9</w:t>
      </w:r>
      <w:r>
        <w:rPr>
          <w:rFonts w:hint="eastAsia" w:ascii="仿宋_GB2312" w:eastAsia="仿宋_GB2312"/>
          <w:color w:val="auto"/>
          <w:sz w:val="24"/>
          <w:highlight w:val="none"/>
        </w:rPr>
        <w:t>）经营期间，乙方在经营场地内发生的一切财产物品被盗、人员伤亡事故、火灾、民事纠纷、社会治安事件及其导致的一切经济损失，由乙方处理和承担。</w:t>
      </w:r>
    </w:p>
    <w:p w14:paraId="373BFDD6">
      <w:pPr>
        <w:spacing w:line="460" w:lineRule="exact"/>
        <w:ind w:firstLine="480" w:firstLineChars="200"/>
        <w:rPr>
          <w:rFonts w:hint="eastAsia" w:eastAsia="仿宋_GB2312"/>
          <w:color w:val="auto"/>
          <w:sz w:val="24"/>
          <w:szCs w:val="21"/>
          <w:highlight w:val="none"/>
        </w:rPr>
      </w:pPr>
      <w:r>
        <w:rPr>
          <w:rFonts w:hint="eastAsia" w:ascii="仿宋_GB2312" w:eastAsia="仿宋_GB2312"/>
          <w:color w:val="auto"/>
          <w:sz w:val="24"/>
          <w:szCs w:val="24"/>
          <w:highlight w:val="none"/>
        </w:rPr>
        <w:t>（10）</w:t>
      </w:r>
      <w:r>
        <w:rPr>
          <w:rFonts w:hint="eastAsia" w:ascii="Times New Roman" w:eastAsia="仿宋_GB2312"/>
          <w:color w:val="auto"/>
          <w:sz w:val="24"/>
          <w:szCs w:val="21"/>
          <w:highlight w:val="none"/>
        </w:rPr>
        <w:t>乙方</w:t>
      </w:r>
      <w:r>
        <w:rPr>
          <w:rFonts w:hint="eastAsia" w:eastAsia="仿宋_GB2312"/>
          <w:color w:val="auto"/>
          <w:sz w:val="24"/>
          <w:szCs w:val="21"/>
          <w:highlight w:val="none"/>
        </w:rPr>
        <w:t>按照行业管理部门许可经营范围配备维修设备和工具，不超范围修理和作业，做好各种维修设备、工具维护保养，严格按操作规程正确使用各类维修设备工具，汽修服务过程中产生的固废、危废等应与有资质的机构签订委托协议进行处理。</w:t>
      </w:r>
    </w:p>
    <w:p w14:paraId="79603031">
      <w:pPr>
        <w:spacing w:line="46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w:t>
      </w:r>
      <w:r>
        <w:rPr>
          <w:rFonts w:ascii="仿宋_GB2312" w:eastAsia="仿宋_GB2312"/>
          <w:color w:val="auto"/>
          <w:sz w:val="24"/>
          <w:highlight w:val="none"/>
        </w:rPr>
        <w:t>1</w:t>
      </w:r>
      <w:r>
        <w:rPr>
          <w:rFonts w:hint="eastAsia" w:ascii="仿宋_GB2312" w:eastAsia="仿宋_GB2312"/>
          <w:color w:val="auto"/>
          <w:sz w:val="24"/>
          <w:highlight w:val="none"/>
        </w:rPr>
        <w:t>）乙方应合理按照甲方要求对所售</w:t>
      </w:r>
      <w:r>
        <w:rPr>
          <w:rFonts w:hint="eastAsia" w:eastAsia="仿宋_GB2312"/>
          <w:color w:val="auto"/>
          <w:sz w:val="24"/>
          <w:szCs w:val="21"/>
          <w:highlight w:val="none"/>
        </w:rPr>
        <w:t>汽修产品、配件（具有相关票证）</w:t>
      </w:r>
      <w:r>
        <w:rPr>
          <w:rFonts w:hint="eastAsia" w:ascii="仿宋_GB2312" w:eastAsia="仿宋_GB2312"/>
          <w:color w:val="auto"/>
          <w:sz w:val="24"/>
          <w:highlight w:val="none"/>
        </w:rPr>
        <w:t>进行进销存管理。乙方提供的服务和产品质量必须符合国家有关产品质量的要求，不得向顾客提供不符合质量要求的产品。如顾客投诉或甲方检查中发现问题，乙方应承担相关责任，甲方有权根据事件造成的影响，扣除乙方履约保证金。乙方对所有经营的商品和供应商建立必要的档案，包括但不限于：产品质量检验证明、销售凭证和供应商地址、联系人、联系方式等，以备查。</w:t>
      </w:r>
    </w:p>
    <w:p w14:paraId="54B5612B">
      <w:pPr>
        <w:spacing w:line="460" w:lineRule="exact"/>
        <w:ind w:firstLine="480" w:firstLineChars="200"/>
        <w:rPr>
          <w:rFonts w:eastAsia="仿宋_GB2312"/>
          <w:color w:val="auto"/>
          <w:sz w:val="24"/>
          <w:szCs w:val="21"/>
          <w:highlight w:val="none"/>
        </w:rPr>
      </w:pPr>
      <w:r>
        <w:rPr>
          <w:rFonts w:hint="eastAsia" w:ascii="仿宋_GB2312" w:eastAsia="仿宋_GB2312"/>
          <w:color w:val="auto"/>
          <w:sz w:val="24"/>
          <w:highlight w:val="none"/>
        </w:rPr>
        <w:t>（</w:t>
      </w:r>
      <w:r>
        <w:rPr>
          <w:rFonts w:ascii="仿宋_GB2312" w:eastAsia="仿宋_GB2312"/>
          <w:color w:val="auto"/>
          <w:sz w:val="24"/>
          <w:highlight w:val="none"/>
        </w:rPr>
        <w:t>12</w:t>
      </w:r>
      <w:r>
        <w:rPr>
          <w:rFonts w:hint="eastAsia" w:ascii="仿宋_GB2312" w:eastAsia="仿宋_GB2312"/>
          <w:color w:val="auto"/>
          <w:sz w:val="24"/>
          <w:highlight w:val="none"/>
        </w:rPr>
        <w:t>）乙方营业时间应保证全年无休。乙方需</w:t>
      </w:r>
      <w:r>
        <w:rPr>
          <w:rFonts w:hint="eastAsia" w:eastAsia="仿宋_GB2312"/>
          <w:color w:val="auto"/>
          <w:sz w:val="24"/>
          <w:szCs w:val="21"/>
          <w:highlight w:val="none"/>
        </w:rPr>
        <w:t>通过正规渠道提供优质正宗的汽车配件，严禁出售假冒、伪劣配件。销售配件做到明码标价，一货一签，维修常用配件实行“同城同价”。</w:t>
      </w:r>
    </w:p>
    <w:p w14:paraId="388BBFB1">
      <w:pPr>
        <w:spacing w:line="460" w:lineRule="exact"/>
        <w:ind w:firstLine="480" w:firstLineChars="200"/>
        <w:rPr>
          <w:rFonts w:eastAsia="仿宋_GB2312"/>
          <w:color w:val="auto"/>
          <w:sz w:val="24"/>
          <w:szCs w:val="21"/>
          <w:highlight w:val="none"/>
        </w:rPr>
      </w:pPr>
      <w:r>
        <w:rPr>
          <w:rFonts w:hint="eastAsia" w:ascii="仿宋_GB2312" w:eastAsia="仿宋_GB2312"/>
          <w:color w:val="auto"/>
          <w:sz w:val="24"/>
          <w:szCs w:val="24"/>
          <w:highlight w:val="none"/>
        </w:rPr>
        <w:t>（13）</w:t>
      </w:r>
      <w:r>
        <w:rPr>
          <w:rFonts w:hint="eastAsia" w:ascii="仿宋_GB2312" w:eastAsia="仿宋_GB2312"/>
          <w:color w:val="auto"/>
          <w:sz w:val="24"/>
          <w:highlight w:val="none"/>
        </w:rPr>
        <w:t>乙方</w:t>
      </w:r>
      <w:r>
        <w:rPr>
          <w:rFonts w:hint="eastAsia" w:eastAsia="仿宋_GB2312"/>
          <w:color w:val="auto"/>
          <w:sz w:val="24"/>
          <w:szCs w:val="21"/>
          <w:highlight w:val="none"/>
        </w:rPr>
        <w:t>应仅限在指定区域（服务区内部）承修车辆，并与用户签订</w:t>
      </w:r>
      <w:r>
        <w:rPr>
          <w:rFonts w:hint="eastAsia" w:eastAsia="仿宋_GB2312"/>
          <w:color w:val="auto"/>
          <w:sz w:val="24"/>
          <w:szCs w:val="21"/>
          <w:highlight w:val="none"/>
          <w:lang w:val="en-US" w:eastAsia="zh-CN"/>
        </w:rPr>
        <w:t>车辆维修</w:t>
      </w:r>
      <w:r>
        <w:rPr>
          <w:rFonts w:hint="eastAsia" w:eastAsia="仿宋_GB2312"/>
          <w:color w:val="auto"/>
          <w:sz w:val="24"/>
          <w:szCs w:val="21"/>
          <w:highlight w:val="none"/>
        </w:rPr>
        <w:t>协议，明确维修项目、费用、质量保证期和双方责任，收费开具维修专用发票和费用结算清单（工时材料清单），并由用户在服务记录上签字验收或签署用户意见，主动接受社会监督。</w:t>
      </w:r>
    </w:p>
    <w:p w14:paraId="577C1C5E">
      <w:pPr>
        <w:spacing w:line="460" w:lineRule="exact"/>
        <w:ind w:firstLine="480" w:firstLineChars="200"/>
        <w:rPr>
          <w:rFonts w:eastAsia="仿宋_GB2312"/>
          <w:color w:val="auto"/>
          <w:sz w:val="24"/>
          <w:szCs w:val="21"/>
          <w:highlight w:val="none"/>
        </w:rPr>
      </w:pPr>
      <w:r>
        <w:rPr>
          <w:rFonts w:hint="eastAsia" w:ascii="仿宋_GB2312" w:eastAsia="仿宋_GB2312"/>
          <w:color w:val="auto"/>
          <w:sz w:val="24"/>
          <w:szCs w:val="24"/>
          <w:highlight w:val="none"/>
        </w:rPr>
        <w:t>（14）</w:t>
      </w:r>
      <w:r>
        <w:rPr>
          <w:rFonts w:hint="eastAsia" w:ascii="仿宋_GB2312" w:eastAsia="仿宋_GB2312"/>
          <w:color w:val="auto"/>
          <w:sz w:val="24"/>
          <w:highlight w:val="none"/>
        </w:rPr>
        <w:t>乙方</w:t>
      </w:r>
      <w:r>
        <w:rPr>
          <w:rFonts w:hint="eastAsia" w:eastAsia="仿宋_GB2312"/>
          <w:color w:val="auto"/>
          <w:sz w:val="24"/>
          <w:szCs w:val="21"/>
          <w:highlight w:val="none"/>
        </w:rPr>
        <w:t>对消费者作出车辆维修质量保证承诺，质量保证期内的车辆返修率应低于5%，积极为客户排忧解难，履行汽修联保义务，且配合甲方开展汽修联保活动，按照联保协议约定，实现“一地有偿维修，多地免费保修”的质量保证机制。</w:t>
      </w:r>
    </w:p>
    <w:p w14:paraId="1E7838B9">
      <w:pPr>
        <w:spacing w:line="460" w:lineRule="exact"/>
        <w:ind w:firstLine="480" w:firstLineChars="200"/>
        <w:rPr>
          <w:rFonts w:eastAsia="仿宋_GB2312"/>
          <w:color w:val="auto"/>
          <w:sz w:val="24"/>
          <w:szCs w:val="21"/>
          <w:highlight w:val="none"/>
        </w:rPr>
      </w:pPr>
      <w:r>
        <w:rPr>
          <w:rFonts w:hint="eastAsia" w:ascii="仿宋_GB2312" w:eastAsia="仿宋_GB2312"/>
          <w:color w:val="auto"/>
          <w:sz w:val="24"/>
          <w:szCs w:val="24"/>
          <w:highlight w:val="none"/>
        </w:rPr>
        <w:t>（15）</w:t>
      </w:r>
      <w:r>
        <w:rPr>
          <w:rFonts w:hint="eastAsia" w:eastAsia="仿宋_GB2312"/>
          <w:color w:val="auto"/>
          <w:sz w:val="24"/>
          <w:szCs w:val="21"/>
          <w:highlight w:val="none"/>
          <w:lang w:val="en-US" w:eastAsia="zh-CN"/>
        </w:rPr>
        <w:t>乙方应就部分项目提供免费服务，并明确部分项目限价（免费及限价及项目要求</w:t>
      </w:r>
      <w:r>
        <w:rPr>
          <w:rFonts w:hint="eastAsia" w:eastAsia="仿宋_GB2312"/>
          <w:b/>
          <w:bCs/>
          <w:color w:val="auto"/>
          <w:sz w:val="24"/>
          <w:szCs w:val="21"/>
          <w:highlight w:val="none"/>
          <w:lang w:val="en-US" w:eastAsia="zh-CN"/>
        </w:rPr>
        <w:t>详见附件7《限价和免费项目表》</w:t>
      </w:r>
      <w:r>
        <w:rPr>
          <w:rFonts w:hint="eastAsia" w:eastAsia="仿宋_GB2312"/>
          <w:color w:val="auto"/>
          <w:sz w:val="24"/>
          <w:szCs w:val="21"/>
          <w:highlight w:val="none"/>
          <w:lang w:val="en-US" w:eastAsia="zh-CN"/>
        </w:rPr>
        <w:t>）。同时，乙方应在门店内上墙公示汽修商品限价和免费项目表、汽车维修工时价目表、工作人员（持证）一览表、岗位分工职责、服务规范及安全操作规程、制度等内容，且明示汽修服务电话和消费者投诉举报专线电话：96222。</w:t>
      </w:r>
    </w:p>
    <w:p w14:paraId="2E50C5B2">
      <w:pPr>
        <w:spacing w:line="460" w:lineRule="exact"/>
        <w:ind w:firstLine="480" w:firstLineChars="200"/>
        <w:rPr>
          <w:rFonts w:hint="eastAsia" w:ascii="仿宋_GB2312" w:eastAsia="仿宋_GB2312"/>
          <w:color w:val="auto"/>
          <w:sz w:val="24"/>
          <w:highlight w:val="none"/>
          <w:lang w:eastAsia="zh-CN"/>
        </w:rPr>
      </w:pPr>
      <w:r>
        <w:rPr>
          <w:rFonts w:hint="eastAsia" w:ascii="仿宋_GB2312" w:eastAsia="仿宋_GB2312"/>
          <w:color w:val="auto"/>
          <w:sz w:val="24"/>
          <w:highlight w:val="none"/>
        </w:rPr>
        <w:t>（</w:t>
      </w:r>
      <w:r>
        <w:rPr>
          <w:rFonts w:ascii="仿宋_GB2312" w:eastAsia="仿宋_GB2312"/>
          <w:color w:val="auto"/>
          <w:sz w:val="24"/>
          <w:highlight w:val="none"/>
        </w:rPr>
        <w:t>16</w:t>
      </w:r>
      <w:r>
        <w:rPr>
          <w:rFonts w:hint="eastAsia" w:ascii="仿宋_GB2312" w:eastAsia="仿宋_GB2312"/>
          <w:color w:val="auto"/>
          <w:sz w:val="24"/>
          <w:highlight w:val="none"/>
        </w:rPr>
        <w:t>）乙方的所有装修方案应经甲方审核，报有关部门同意后方可施工。装修图纸应报甲方备案。固定的装修，无论何种原因合同解除或终止后均无偿移交给甲方，第十</w:t>
      </w:r>
      <w:r>
        <w:rPr>
          <w:rFonts w:hint="eastAsia" w:ascii="仿宋_GB2312" w:eastAsia="仿宋_GB2312"/>
          <w:color w:val="auto"/>
          <w:sz w:val="24"/>
          <w:highlight w:val="none"/>
          <w:lang w:val="en-US" w:eastAsia="zh-CN"/>
        </w:rPr>
        <w:t>一</w:t>
      </w:r>
      <w:r>
        <w:rPr>
          <w:rFonts w:hint="eastAsia" w:ascii="仿宋_GB2312" w:eastAsia="仿宋_GB2312"/>
          <w:color w:val="auto"/>
          <w:sz w:val="24"/>
          <w:highlight w:val="none"/>
        </w:rPr>
        <w:t>条第4款的规定除外。</w:t>
      </w:r>
    </w:p>
    <w:p w14:paraId="137AC2CE">
      <w:pPr>
        <w:spacing w:line="46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w:t>
      </w:r>
      <w:r>
        <w:rPr>
          <w:rFonts w:ascii="仿宋_GB2312" w:eastAsia="仿宋_GB2312"/>
          <w:color w:val="auto"/>
          <w:sz w:val="24"/>
          <w:highlight w:val="none"/>
        </w:rPr>
        <w:t>7</w:t>
      </w:r>
      <w:r>
        <w:rPr>
          <w:rFonts w:hint="eastAsia" w:ascii="仿宋_GB2312" w:eastAsia="仿宋_GB2312"/>
          <w:color w:val="auto"/>
          <w:sz w:val="24"/>
          <w:highlight w:val="none"/>
        </w:rPr>
        <w:t>）负责保管使用甲方提供的场地、建筑物、构筑物和其他设施</w:t>
      </w:r>
      <w:r>
        <w:rPr>
          <w:rFonts w:hint="eastAsia" w:ascii="仿宋_GB2312" w:eastAsia="仿宋_GB2312"/>
          <w:color w:val="auto"/>
          <w:sz w:val="24"/>
          <w:highlight w:val="none"/>
          <w:lang w:eastAsia="zh-CN"/>
        </w:rPr>
        <w:t>（设</w:t>
      </w:r>
      <w:r>
        <w:rPr>
          <w:rFonts w:hint="eastAsia" w:ascii="仿宋_GB2312" w:eastAsia="仿宋_GB2312"/>
          <w:color w:val="auto"/>
          <w:sz w:val="24"/>
          <w:highlight w:val="none"/>
        </w:rPr>
        <w:t>备）（详见清单）。</w:t>
      </w:r>
    </w:p>
    <w:p w14:paraId="1179E02E">
      <w:pPr>
        <w:spacing w:line="46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w:t>
      </w:r>
      <w:r>
        <w:rPr>
          <w:rFonts w:ascii="仿宋_GB2312" w:eastAsia="仿宋_GB2312"/>
          <w:color w:val="auto"/>
          <w:sz w:val="24"/>
          <w:highlight w:val="none"/>
        </w:rPr>
        <w:t>8</w:t>
      </w:r>
      <w:r>
        <w:rPr>
          <w:rFonts w:hint="eastAsia" w:ascii="仿宋_GB2312" w:eastAsia="仿宋_GB2312"/>
          <w:color w:val="auto"/>
          <w:sz w:val="24"/>
          <w:highlight w:val="none"/>
        </w:rPr>
        <w:t>）负责甲方及乙方自有财产的财产保险，报甲方备案。</w:t>
      </w:r>
    </w:p>
    <w:p w14:paraId="6D773929">
      <w:pPr>
        <w:spacing w:line="46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w:t>
      </w:r>
      <w:r>
        <w:rPr>
          <w:rFonts w:ascii="仿宋_GB2312" w:eastAsia="仿宋_GB2312"/>
          <w:color w:val="auto"/>
          <w:sz w:val="24"/>
          <w:highlight w:val="none"/>
        </w:rPr>
        <w:t>9</w:t>
      </w:r>
      <w:r>
        <w:rPr>
          <w:rFonts w:hint="eastAsia" w:ascii="仿宋_GB2312" w:eastAsia="仿宋_GB2312"/>
          <w:color w:val="auto"/>
          <w:sz w:val="24"/>
          <w:highlight w:val="none"/>
        </w:rPr>
        <w:t>）乙方应保持服务区管理人员的稳定，所配的管理人员应具有服务区的管理经验，并具有较强的管理、协调能力。乙方指派负责人，负责日常经营管理并与甲方保持联系等工作。</w:t>
      </w:r>
    </w:p>
    <w:p w14:paraId="003A10D2">
      <w:pPr>
        <w:spacing w:line="46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w:t>
      </w:r>
      <w:r>
        <w:rPr>
          <w:rFonts w:ascii="仿宋_GB2312" w:eastAsia="仿宋_GB2312"/>
          <w:color w:val="auto"/>
          <w:sz w:val="24"/>
          <w:highlight w:val="none"/>
        </w:rPr>
        <w:t>20</w:t>
      </w:r>
      <w:r>
        <w:rPr>
          <w:rFonts w:hint="eastAsia" w:ascii="仿宋_GB2312" w:eastAsia="仿宋_GB2312"/>
          <w:color w:val="auto"/>
          <w:sz w:val="24"/>
          <w:highlight w:val="none"/>
        </w:rPr>
        <w:t>）乙方负责乙方员工的管理工作，通过甲方对乙方员工进行上岗前培训，考核合格后上岗。统一着装，统一佩牌上岗，对须持证上岗者，则必须持证上岗，并按国家规定做好劳动保险，报甲方备案。</w:t>
      </w:r>
    </w:p>
    <w:p w14:paraId="6ACBE4FB">
      <w:pPr>
        <w:spacing w:line="46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w:t>
      </w:r>
      <w:r>
        <w:rPr>
          <w:rFonts w:ascii="仿宋_GB2312" w:eastAsia="仿宋_GB2312"/>
          <w:color w:val="auto"/>
          <w:sz w:val="24"/>
          <w:highlight w:val="none"/>
        </w:rPr>
        <w:t>21</w:t>
      </w:r>
      <w:r>
        <w:rPr>
          <w:rFonts w:hint="eastAsia" w:ascii="仿宋_GB2312" w:eastAsia="仿宋_GB2312"/>
          <w:color w:val="auto"/>
          <w:sz w:val="24"/>
          <w:highlight w:val="none"/>
        </w:rPr>
        <w:t>）乙方所聘用人员的工资应不低于当地最低工资标准。</w:t>
      </w:r>
    </w:p>
    <w:p w14:paraId="233CC1ED">
      <w:pPr>
        <w:spacing w:line="46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w:t>
      </w:r>
      <w:r>
        <w:rPr>
          <w:rFonts w:ascii="仿宋_GB2312" w:eastAsia="仿宋_GB2312"/>
          <w:color w:val="auto"/>
          <w:sz w:val="24"/>
          <w:highlight w:val="none"/>
        </w:rPr>
        <w:t>22</w:t>
      </w:r>
      <w:r>
        <w:rPr>
          <w:rFonts w:hint="eastAsia" w:ascii="仿宋_GB2312" w:eastAsia="仿宋_GB2312"/>
          <w:color w:val="auto"/>
          <w:sz w:val="24"/>
          <w:highlight w:val="none"/>
        </w:rPr>
        <w:t>）负责进出服务区人员（含工作人员）的人身意外保险，报甲方备案。</w:t>
      </w:r>
    </w:p>
    <w:p w14:paraId="0AFC4C84">
      <w:pPr>
        <w:spacing w:line="46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w:t>
      </w:r>
      <w:r>
        <w:rPr>
          <w:rFonts w:ascii="仿宋_GB2312" w:eastAsia="仿宋_GB2312"/>
          <w:color w:val="auto"/>
          <w:sz w:val="24"/>
          <w:highlight w:val="none"/>
        </w:rPr>
        <w:t>23</w:t>
      </w:r>
      <w:r>
        <w:rPr>
          <w:rFonts w:hint="eastAsia" w:ascii="仿宋_GB2312" w:eastAsia="仿宋_GB2312"/>
          <w:color w:val="auto"/>
          <w:sz w:val="24"/>
          <w:highlight w:val="none"/>
        </w:rPr>
        <w:t>）乙方应承担服务区经营区域的物业管理的责任和费用。</w:t>
      </w:r>
    </w:p>
    <w:p w14:paraId="3897AFC8">
      <w:pPr>
        <w:spacing w:line="460" w:lineRule="exact"/>
        <w:ind w:firstLine="480" w:firstLineChars="200"/>
        <w:rPr>
          <w:rFonts w:ascii="仿宋_GB2312" w:eastAsia="仿宋_GB2312"/>
          <w:color w:val="auto"/>
          <w:sz w:val="24"/>
          <w:highlight w:val="none"/>
        </w:rPr>
      </w:pPr>
      <w:r>
        <w:rPr>
          <w:rFonts w:hint="eastAsia" w:ascii="仿宋_GB2312" w:hAnsi="Times New Roman" w:eastAsia="仿宋_GB2312"/>
          <w:color w:val="auto"/>
          <w:sz w:val="24"/>
          <w:highlight w:val="none"/>
        </w:rPr>
        <w:t>（24）</w:t>
      </w:r>
      <w:r>
        <w:rPr>
          <w:rFonts w:hint="eastAsia" w:ascii="仿宋_GB2312" w:eastAsia="仿宋_GB2312"/>
          <w:color w:val="auto"/>
          <w:sz w:val="24"/>
          <w:highlight w:val="none"/>
        </w:rPr>
        <w:t>乙方不得损害甲方财产或服务区对外形象。</w:t>
      </w:r>
    </w:p>
    <w:p w14:paraId="6F9F050B">
      <w:pPr>
        <w:spacing w:line="46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w:t>
      </w:r>
      <w:r>
        <w:rPr>
          <w:rFonts w:ascii="仿宋_GB2312" w:eastAsia="仿宋_GB2312"/>
          <w:color w:val="auto"/>
          <w:sz w:val="24"/>
          <w:highlight w:val="none"/>
        </w:rPr>
        <w:t>25</w:t>
      </w:r>
      <w:r>
        <w:rPr>
          <w:rFonts w:hint="eastAsia" w:ascii="仿宋_GB2312" w:eastAsia="仿宋_GB2312"/>
          <w:color w:val="auto"/>
          <w:sz w:val="24"/>
          <w:highlight w:val="none"/>
        </w:rPr>
        <w:t>）甲方及上级部门涉及服务区的重大活动，乙方应积极支持和配合。乙方应响应甲方的星级文明服务区创建等系列活动。甲方组织的统一促销、高速驿网品牌宣传、会员营销等活动，乙方必须积极配</w:t>
      </w:r>
      <w:r>
        <w:rPr>
          <w:rFonts w:hint="eastAsia" w:ascii="仿宋_GB2312" w:eastAsia="仿宋_GB2312"/>
          <w:color w:val="auto"/>
          <w:sz w:val="24"/>
          <w:highlight w:val="none"/>
          <w:lang w:eastAsia="zh-CN"/>
        </w:rPr>
        <w:t>合并</w:t>
      </w:r>
      <w:r>
        <w:rPr>
          <w:rFonts w:hint="eastAsia" w:ascii="仿宋_GB2312" w:eastAsia="仿宋_GB2312"/>
          <w:color w:val="auto"/>
          <w:sz w:val="24"/>
          <w:highlight w:val="none"/>
        </w:rPr>
        <w:t>制定门店高速驿网会员营销方案，并承担相应的费用。</w:t>
      </w:r>
    </w:p>
    <w:p w14:paraId="5F59E781">
      <w:pPr>
        <w:spacing w:line="460" w:lineRule="exact"/>
        <w:ind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（2</w:t>
      </w:r>
      <w:r>
        <w:rPr>
          <w:rFonts w:ascii="仿宋_GB2312" w:hAnsi="宋体" w:eastAsia="仿宋_GB2312"/>
          <w:color w:val="auto"/>
          <w:sz w:val="24"/>
          <w:highlight w:val="none"/>
        </w:rPr>
        <w:t>6</w:t>
      </w:r>
      <w:r>
        <w:rPr>
          <w:rFonts w:hint="eastAsia" w:ascii="仿宋_GB2312" w:hAnsi="宋体" w:eastAsia="仿宋_GB2312"/>
          <w:color w:val="auto"/>
          <w:sz w:val="24"/>
          <w:highlight w:val="none"/>
        </w:rPr>
        <w:t>）乙方在经营期内，若遇道路拓宽、服务区升级改造、造成经营地点移位或经营项目暂停的，应服从服务区的工作安排，根据受到影响的实际情况，经与甲方协商一致后，享受有条件免租及（或）合同期限顺延等补偿措施。乙方必须配合服务区的改造工作，不得以改造施工影响为由拒缴或少缴相关费用。</w:t>
      </w:r>
    </w:p>
    <w:p w14:paraId="7F39D79C">
      <w:pPr>
        <w:spacing w:line="460" w:lineRule="exact"/>
        <w:ind w:firstLine="480" w:firstLineChars="200"/>
        <w:rPr>
          <w:rFonts w:hint="default" w:ascii="仿宋_GB2312" w:eastAsia="仿宋_GB2312"/>
          <w:color w:val="auto"/>
          <w:sz w:val="24"/>
          <w:highlight w:val="none"/>
        </w:rPr>
      </w:pP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lang w:val="en-US" w:eastAsia="zh-CN"/>
        </w:rPr>
        <w:t>27）乙方在经营期内，应按服务区或行业主管部门相关要求规范经营管理，并保质保量提供服务，避免在经营期间产生有责投诉。有责投诉指乙方未按统一收银要求实施，存在订单小票缺失或无法与维修协议对应的，以及发生顾客投诉和被自媒体曝光产生负面舆情等情况，经查证乙方存在拒绝维修资质范围内的服务或未按公示价格标准执行等，对公司声誉造成不良影响并被核定为有责的投诉（具体以商业集团本部定责的书面函为准）。</w:t>
      </w:r>
    </w:p>
    <w:p w14:paraId="5731274E">
      <w:pPr>
        <w:spacing w:line="460" w:lineRule="exact"/>
        <w:ind w:firstLine="482" w:firstLineChars="200"/>
        <w:rPr>
          <w:rFonts w:ascii="仿宋_GB2312" w:eastAsia="仿宋_GB2312"/>
          <w:b/>
          <w:color w:val="auto"/>
          <w:sz w:val="24"/>
          <w:highlight w:val="none"/>
        </w:rPr>
      </w:pPr>
      <w:r>
        <w:rPr>
          <w:rFonts w:hint="eastAsia" w:ascii="仿宋_GB2312" w:eastAsia="仿宋_GB2312"/>
          <w:b/>
          <w:color w:val="auto"/>
          <w:sz w:val="24"/>
          <w:highlight w:val="none"/>
        </w:rPr>
        <w:t>十</w:t>
      </w:r>
      <w:r>
        <w:rPr>
          <w:rFonts w:hint="eastAsia" w:ascii="仿宋_GB2312" w:eastAsia="仿宋_GB2312"/>
          <w:b/>
          <w:color w:val="auto"/>
          <w:sz w:val="24"/>
          <w:highlight w:val="none"/>
          <w:lang w:val="en-US" w:eastAsia="zh-CN"/>
        </w:rPr>
        <w:t>一</w:t>
      </w:r>
      <w:r>
        <w:rPr>
          <w:rFonts w:hint="eastAsia" w:ascii="仿宋_GB2312" w:eastAsia="仿宋_GB2312"/>
          <w:b/>
          <w:color w:val="auto"/>
          <w:sz w:val="24"/>
          <w:highlight w:val="none"/>
        </w:rPr>
        <w:t>、合同的解除</w:t>
      </w:r>
    </w:p>
    <w:p w14:paraId="2C92773E">
      <w:pPr>
        <w:spacing w:line="460" w:lineRule="exact"/>
        <w:ind w:firstLine="480" w:firstLineChars="200"/>
        <w:rPr>
          <w:rFonts w:ascii="仿宋_GB2312" w:eastAsia="仿宋_GB2312"/>
          <w:color w:val="auto"/>
          <w:sz w:val="24"/>
          <w:highlight w:val="none"/>
        </w:rPr>
      </w:pPr>
      <w:r>
        <w:rPr>
          <w:rFonts w:ascii="仿宋_GB2312" w:hAnsi="宋体" w:eastAsia="仿宋_GB2312"/>
          <w:color w:val="auto"/>
          <w:sz w:val="24"/>
          <w:highlight w:val="none"/>
        </w:rPr>
        <w:t xml:space="preserve">1. </w:t>
      </w:r>
      <w:r>
        <w:rPr>
          <w:rFonts w:hint="eastAsia" w:ascii="仿宋_GB2312" w:hAnsi="宋体" w:eastAsia="仿宋_GB2312"/>
          <w:color w:val="auto"/>
          <w:sz w:val="24"/>
          <w:highlight w:val="none"/>
        </w:rPr>
        <w:t>出现下列情况之一的，乙方将进入甲方黑名单，三年内不得参加甲方旗下所有服务区经营项目的投标、招商活动；同时，甲方有权单方解除合同，并没收履约保证金，乙方应在甲方解除合同之日起三日内腾退场地，并办理移交手续，双方经营管理费结算至乙方实际撤场完成之日止，乙方应于结算后</w:t>
      </w:r>
      <w:r>
        <w:rPr>
          <w:rFonts w:ascii="仿宋_GB2312" w:hAnsi="宋体" w:eastAsia="仿宋_GB2312"/>
          <w:color w:val="auto"/>
          <w:sz w:val="24"/>
          <w:highlight w:val="none"/>
        </w:rPr>
        <w:t>3日内支付；因此给甲方造成损失的，乙方还应赔偿甲方损失：</w:t>
      </w:r>
    </w:p>
    <w:p w14:paraId="394DAEA4">
      <w:pPr>
        <w:spacing w:line="46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（1）乙方未按约定期限足额支付</w:t>
      </w:r>
      <w:r>
        <w:rPr>
          <w:rFonts w:hint="eastAsia" w:ascii="仿宋_GB2312" w:hAnsi="宋体" w:eastAsia="仿宋_GB2312"/>
          <w:color w:val="auto"/>
          <w:sz w:val="24"/>
          <w:highlight w:val="none"/>
        </w:rPr>
        <w:t>经营管理费</w:t>
      </w:r>
      <w:r>
        <w:rPr>
          <w:rFonts w:ascii="仿宋_GB2312" w:hAnsi="宋体" w:eastAsia="仿宋_GB2312"/>
          <w:color w:val="auto"/>
          <w:sz w:val="24"/>
          <w:highlight w:val="none"/>
        </w:rPr>
        <w:t>、</w:t>
      </w:r>
      <w:r>
        <w:rPr>
          <w:rFonts w:hint="eastAsia" w:ascii="仿宋_GB2312" w:hAnsi="宋体" w:eastAsia="仿宋_GB2312"/>
          <w:color w:val="auto"/>
          <w:sz w:val="24"/>
          <w:highlight w:val="none"/>
        </w:rPr>
        <w:t>履约保证金</w:t>
      </w:r>
      <w:r>
        <w:rPr>
          <w:rFonts w:ascii="仿宋_GB2312" w:hAnsi="宋体" w:eastAsia="仿宋_GB2312"/>
          <w:color w:val="auto"/>
          <w:sz w:val="24"/>
          <w:highlight w:val="none"/>
        </w:rPr>
        <w:t>、</w:t>
      </w:r>
      <w:r>
        <w:rPr>
          <w:rFonts w:hint="eastAsia" w:ascii="仿宋_GB2312" w:hAnsi="宋体" w:eastAsia="仿宋_GB2312"/>
          <w:color w:val="auto"/>
          <w:sz w:val="24"/>
          <w:highlight w:val="none"/>
        </w:rPr>
        <w:t>水电</w:t>
      </w:r>
      <w:r>
        <w:rPr>
          <w:rFonts w:ascii="仿宋_GB2312" w:hAnsi="宋体" w:eastAsia="仿宋_GB2312"/>
          <w:color w:val="auto"/>
          <w:sz w:val="24"/>
          <w:highlight w:val="none"/>
        </w:rPr>
        <w:t>费用</w:t>
      </w:r>
      <w:r>
        <w:rPr>
          <w:rFonts w:hint="eastAsia" w:ascii="仿宋_GB2312" w:hAnsi="宋体" w:eastAsia="仿宋_GB2312"/>
          <w:color w:val="auto"/>
          <w:sz w:val="24"/>
          <w:highlight w:val="none"/>
        </w:rPr>
        <w:t>或</w:t>
      </w:r>
      <w:r>
        <w:rPr>
          <w:rFonts w:ascii="仿宋_GB2312" w:hAnsi="宋体" w:eastAsia="仿宋_GB2312"/>
          <w:color w:val="auto"/>
          <w:sz w:val="24"/>
          <w:highlight w:val="none"/>
        </w:rPr>
        <w:t>其他费用</w:t>
      </w:r>
      <w:r>
        <w:rPr>
          <w:rFonts w:hint="eastAsia" w:ascii="仿宋_GB2312" w:eastAsia="仿宋_GB2312"/>
          <w:color w:val="auto"/>
          <w:sz w:val="24"/>
          <w:highlight w:val="none"/>
        </w:rPr>
        <w:t>，拖欠时间超过30天的；</w:t>
      </w:r>
    </w:p>
    <w:p w14:paraId="116AC770">
      <w:pPr>
        <w:spacing w:line="46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（2）乙方未按甲方通知的时间及金额补足履约保证金，拖欠时间超过30天的；</w:t>
      </w:r>
    </w:p>
    <w:p w14:paraId="5EC626FF">
      <w:pPr>
        <w:spacing w:line="46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w:t>
      </w:r>
      <w:r>
        <w:rPr>
          <w:rFonts w:ascii="仿宋_GB2312" w:eastAsia="仿宋_GB2312"/>
          <w:color w:val="auto"/>
          <w:sz w:val="24"/>
          <w:highlight w:val="none"/>
        </w:rPr>
        <w:t>3</w:t>
      </w:r>
      <w:r>
        <w:rPr>
          <w:rFonts w:hint="eastAsia" w:ascii="仿宋_GB2312" w:eastAsia="仿宋_GB2312"/>
          <w:color w:val="auto"/>
          <w:sz w:val="24"/>
          <w:highlight w:val="none"/>
        </w:rPr>
        <w:t>）乙方经营期内受到交通、工商、质量监督有关行政主管部门的处罚</w:t>
      </w:r>
      <w:r>
        <w:rPr>
          <w:rFonts w:hint="eastAsia" w:ascii="仿宋_GB2312" w:eastAsia="仿宋_GB2312"/>
          <w:color w:val="auto"/>
          <w:sz w:val="24"/>
          <w:highlight w:val="none"/>
          <w:lang w:val="en-US" w:eastAsia="zh-CN"/>
        </w:rPr>
        <w:t>3次以上</w:t>
      </w:r>
      <w:r>
        <w:rPr>
          <w:rFonts w:hint="default" w:ascii="仿宋_GB2312" w:hAnsi="Times New Roman" w:eastAsia="仿宋_GB2312" w:cs="Times New Roman"/>
          <w:color w:val="auto"/>
          <w:sz w:val="24"/>
          <w:szCs w:val="24"/>
          <w:highlight w:val="none"/>
          <w:lang w:val="en-US" w:eastAsia="zh-CN"/>
        </w:rPr>
        <w:t>（含</w:t>
      </w:r>
      <w:r>
        <w:rPr>
          <w:rFonts w:hint="eastAsia" w:ascii="仿宋_GB2312" w:eastAsia="仿宋_GB2312" w:cs="Times New Roman"/>
          <w:color w:val="auto"/>
          <w:sz w:val="24"/>
          <w:szCs w:val="24"/>
          <w:highlight w:val="none"/>
          <w:lang w:val="en-US" w:eastAsia="zh-CN"/>
        </w:rPr>
        <w:t>3</w:t>
      </w:r>
      <w:r>
        <w:rPr>
          <w:rFonts w:hint="default" w:ascii="仿宋_GB2312" w:hAnsi="Times New Roman" w:eastAsia="仿宋_GB2312" w:cs="Times New Roman"/>
          <w:color w:val="auto"/>
          <w:sz w:val="24"/>
          <w:szCs w:val="24"/>
          <w:highlight w:val="none"/>
          <w:lang w:val="en-US" w:eastAsia="zh-CN"/>
        </w:rPr>
        <w:t>次）</w:t>
      </w:r>
      <w:r>
        <w:rPr>
          <w:rFonts w:hint="eastAsia" w:ascii="仿宋_GB2312" w:eastAsia="仿宋_GB2312"/>
          <w:color w:val="auto"/>
          <w:sz w:val="24"/>
          <w:highlight w:val="none"/>
        </w:rPr>
        <w:t>的；</w:t>
      </w:r>
    </w:p>
    <w:p w14:paraId="75FE051F">
      <w:pPr>
        <w:spacing w:line="460" w:lineRule="exact"/>
        <w:ind w:firstLine="480" w:firstLineChars="200"/>
        <w:rPr>
          <w:rFonts w:hint="default" w:ascii="仿宋_GB2312" w:eastAsia="仿宋_GB2312"/>
          <w:color w:val="auto"/>
          <w:sz w:val="24"/>
          <w:highlight w:val="none"/>
          <w:lang w:val="en-US" w:eastAsia="zh-CN"/>
        </w:rPr>
      </w:pPr>
      <w:r>
        <w:rPr>
          <w:rFonts w:hint="eastAsia" w:ascii="仿宋_GB2312" w:eastAsia="仿宋_GB2312"/>
          <w:color w:val="auto"/>
          <w:sz w:val="24"/>
          <w:highlight w:val="none"/>
        </w:rPr>
        <w:t>（</w:t>
      </w:r>
      <w:r>
        <w:rPr>
          <w:rFonts w:ascii="仿宋_GB2312" w:eastAsia="仿宋_GB2312"/>
          <w:color w:val="auto"/>
          <w:sz w:val="24"/>
          <w:highlight w:val="none"/>
        </w:rPr>
        <w:t>4</w:t>
      </w:r>
      <w:r>
        <w:rPr>
          <w:rFonts w:hint="eastAsia" w:ascii="仿宋_GB2312" w:eastAsia="仿宋_GB2312"/>
          <w:color w:val="auto"/>
          <w:sz w:val="24"/>
          <w:highlight w:val="none"/>
        </w:rPr>
        <w:t>）</w:t>
      </w:r>
      <w:r>
        <w:rPr>
          <w:rFonts w:hint="eastAsia" w:ascii="仿宋_GB2312" w:eastAsia="仿宋_GB2312"/>
          <w:color w:val="auto"/>
          <w:sz w:val="24"/>
          <w:highlight w:val="none"/>
          <w:lang w:val="en-US" w:eastAsia="zh-CN"/>
        </w:rPr>
        <w:t>乙方</w:t>
      </w:r>
      <w:r>
        <w:rPr>
          <w:rFonts w:hint="eastAsia" w:ascii="仿宋_GB2312" w:eastAsia="仿宋_GB2312"/>
          <w:color w:val="auto"/>
          <w:sz w:val="24"/>
          <w:highlight w:val="none"/>
        </w:rPr>
        <w:t>在同一服务区的一个经营年度内</w:t>
      </w:r>
      <w:r>
        <w:rPr>
          <w:rFonts w:hint="eastAsia" w:ascii="仿宋_GB2312" w:eastAsia="仿宋_GB2312"/>
          <w:color w:val="auto"/>
          <w:sz w:val="24"/>
          <w:highlight w:val="none"/>
          <w:lang w:val="en-US" w:eastAsia="zh-CN"/>
        </w:rPr>
        <w:t>引发</w:t>
      </w:r>
      <w:r>
        <w:rPr>
          <w:rFonts w:hint="eastAsia" w:ascii="仿宋_GB2312" w:eastAsia="仿宋_GB2312"/>
          <w:color w:val="auto"/>
          <w:sz w:val="24"/>
          <w:highlight w:val="none"/>
        </w:rPr>
        <w:t>有责投诉累计</w:t>
      </w:r>
      <w:r>
        <w:rPr>
          <w:rFonts w:hint="eastAsia" w:ascii="仿宋_GB2312" w:eastAsia="仿宋_GB2312"/>
          <w:color w:val="auto"/>
          <w:sz w:val="24"/>
          <w:highlight w:val="none"/>
          <w:lang w:val="en-US" w:eastAsia="zh-CN"/>
        </w:rPr>
        <w:t>3次以上</w:t>
      </w:r>
      <w:r>
        <w:rPr>
          <w:rFonts w:hint="default" w:ascii="仿宋_GB2312" w:hAnsi="Times New Roman" w:eastAsia="仿宋_GB2312" w:cs="Times New Roman"/>
          <w:color w:val="auto"/>
          <w:sz w:val="24"/>
          <w:szCs w:val="24"/>
          <w:highlight w:val="none"/>
          <w:lang w:val="en-US" w:eastAsia="zh-CN"/>
        </w:rPr>
        <w:t>（含</w:t>
      </w:r>
      <w:r>
        <w:rPr>
          <w:rFonts w:hint="eastAsia" w:ascii="仿宋_GB2312" w:eastAsia="仿宋_GB2312" w:cs="Times New Roman"/>
          <w:color w:val="auto"/>
          <w:sz w:val="24"/>
          <w:szCs w:val="24"/>
          <w:highlight w:val="none"/>
          <w:lang w:val="en-US" w:eastAsia="zh-CN"/>
        </w:rPr>
        <w:t>3</w:t>
      </w:r>
      <w:r>
        <w:rPr>
          <w:rFonts w:hint="default" w:ascii="仿宋_GB2312" w:hAnsi="Times New Roman" w:eastAsia="仿宋_GB2312" w:cs="Times New Roman"/>
          <w:color w:val="auto"/>
          <w:sz w:val="24"/>
          <w:szCs w:val="24"/>
          <w:highlight w:val="none"/>
          <w:lang w:val="en-US" w:eastAsia="zh-CN"/>
        </w:rPr>
        <w:t>次）</w:t>
      </w:r>
      <w:r>
        <w:rPr>
          <w:rFonts w:hint="eastAsia" w:ascii="仿宋_GB2312" w:eastAsia="仿宋_GB2312"/>
          <w:color w:val="auto"/>
          <w:sz w:val="24"/>
          <w:highlight w:val="none"/>
        </w:rPr>
        <w:t>；</w:t>
      </w:r>
    </w:p>
    <w:p w14:paraId="1B30FBA0">
      <w:pPr>
        <w:spacing w:line="46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w:t>
      </w:r>
      <w:r>
        <w:rPr>
          <w:rFonts w:ascii="仿宋_GB2312" w:eastAsia="仿宋_GB2312"/>
          <w:color w:val="auto"/>
          <w:sz w:val="24"/>
          <w:highlight w:val="none"/>
        </w:rPr>
        <w:t>5</w:t>
      </w:r>
      <w:r>
        <w:rPr>
          <w:rFonts w:hint="eastAsia" w:ascii="仿宋_GB2312" w:eastAsia="仿宋_GB2312"/>
          <w:color w:val="auto"/>
          <w:sz w:val="24"/>
          <w:highlight w:val="none"/>
        </w:rPr>
        <w:t>）发生较大安全事故（参照《生产安全事故报告和调查处理条例》的具体规定），负有全部或主要责任；</w:t>
      </w:r>
    </w:p>
    <w:p w14:paraId="12C6FAC9">
      <w:pPr>
        <w:spacing w:line="46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w:t>
      </w:r>
      <w:r>
        <w:rPr>
          <w:rFonts w:ascii="仿宋_GB2312" w:eastAsia="仿宋_GB2312"/>
          <w:color w:val="auto"/>
          <w:sz w:val="24"/>
          <w:highlight w:val="none"/>
        </w:rPr>
        <w:t>6</w:t>
      </w:r>
      <w:r>
        <w:rPr>
          <w:rFonts w:hint="eastAsia" w:ascii="仿宋_GB2312" w:eastAsia="仿宋_GB2312"/>
          <w:color w:val="auto"/>
          <w:sz w:val="24"/>
          <w:highlight w:val="none"/>
        </w:rPr>
        <w:t>）未经批准擅自停止营业</w:t>
      </w:r>
      <w:r>
        <w:rPr>
          <w:rFonts w:ascii="仿宋_GB2312" w:eastAsia="仿宋_GB2312"/>
          <w:color w:val="auto"/>
          <w:sz w:val="24"/>
          <w:highlight w:val="none"/>
        </w:rPr>
        <w:t>5</w:t>
      </w:r>
      <w:r>
        <w:rPr>
          <w:rFonts w:hint="eastAsia" w:ascii="仿宋_GB2312" w:eastAsia="仿宋_GB2312"/>
          <w:color w:val="auto"/>
          <w:sz w:val="24"/>
          <w:highlight w:val="none"/>
        </w:rPr>
        <w:t>天以上的；</w:t>
      </w:r>
    </w:p>
    <w:p w14:paraId="27F732C8">
      <w:pPr>
        <w:spacing w:line="46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w:t>
      </w:r>
      <w:r>
        <w:rPr>
          <w:rFonts w:ascii="仿宋_GB2312" w:eastAsia="仿宋_GB2312"/>
          <w:color w:val="auto"/>
          <w:sz w:val="24"/>
          <w:highlight w:val="none"/>
        </w:rPr>
        <w:t>7</w:t>
      </w:r>
      <w:r>
        <w:rPr>
          <w:rFonts w:hint="eastAsia" w:ascii="仿宋_GB2312" w:eastAsia="仿宋_GB2312"/>
          <w:color w:val="auto"/>
          <w:sz w:val="24"/>
          <w:highlight w:val="none"/>
        </w:rPr>
        <w:t>）以虚假材料骗取准入资格的。</w:t>
      </w:r>
    </w:p>
    <w:p w14:paraId="12BC41D8">
      <w:pPr>
        <w:spacing w:line="46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2．连续两个考核周期不合格的，经服务区申报、公司职能部门审批，可记入黑名单，并按合同第十</w:t>
      </w:r>
      <w:r>
        <w:rPr>
          <w:rFonts w:hint="eastAsia" w:ascii="仿宋_GB2312" w:eastAsia="仿宋_GB2312"/>
          <w:color w:val="auto"/>
          <w:sz w:val="24"/>
          <w:highlight w:val="none"/>
          <w:lang w:val="en-US" w:eastAsia="zh-CN"/>
        </w:rPr>
        <w:t>一</w:t>
      </w:r>
      <w:r>
        <w:rPr>
          <w:rFonts w:hint="eastAsia" w:ascii="仿宋_GB2312" w:eastAsia="仿宋_GB2312"/>
          <w:color w:val="auto"/>
          <w:sz w:val="24"/>
          <w:highlight w:val="none"/>
        </w:rPr>
        <w:t>条第1款要求进行清退</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rPr>
        <w:t>此黑名单记录有效期一年。</w:t>
      </w:r>
    </w:p>
    <w:p w14:paraId="4208671A">
      <w:pPr>
        <w:spacing w:line="460" w:lineRule="exact"/>
        <w:ind w:firstLine="480" w:firstLineChars="200"/>
        <w:rPr>
          <w:rFonts w:ascii="仿宋_GB2312" w:eastAsia="仿宋_GB2312"/>
          <w:color w:val="auto"/>
          <w:sz w:val="24"/>
          <w:highlight w:val="none"/>
        </w:rPr>
      </w:pPr>
      <w:r>
        <w:rPr>
          <w:rFonts w:ascii="仿宋_GB2312" w:eastAsia="仿宋_GB2312"/>
          <w:color w:val="auto"/>
          <w:sz w:val="24"/>
          <w:highlight w:val="none"/>
        </w:rPr>
        <w:t>3</w:t>
      </w:r>
      <w:r>
        <w:rPr>
          <w:rFonts w:hint="eastAsia" w:ascii="仿宋_GB2312" w:eastAsia="仿宋_GB2312"/>
          <w:color w:val="auto"/>
          <w:sz w:val="24"/>
          <w:highlight w:val="none"/>
        </w:rPr>
        <w:t>．乙方存在以下情形的，甲方有权单方解除合同：</w:t>
      </w:r>
    </w:p>
    <w:p w14:paraId="46EB679A">
      <w:pPr>
        <w:spacing w:line="46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w:t>
      </w:r>
      <w:r>
        <w:rPr>
          <w:rFonts w:ascii="仿宋_GB2312" w:eastAsia="仿宋_GB2312"/>
          <w:color w:val="auto"/>
          <w:sz w:val="24"/>
          <w:highlight w:val="none"/>
        </w:rPr>
        <w:t>1</w:t>
      </w:r>
      <w:r>
        <w:rPr>
          <w:rFonts w:hint="eastAsia" w:ascii="仿宋_GB2312" w:eastAsia="仿宋_GB2312"/>
          <w:color w:val="auto"/>
          <w:sz w:val="24"/>
          <w:highlight w:val="none"/>
        </w:rPr>
        <w:t>）乙方违反本协议约定，经甲方书面通知后仍未改正的；</w:t>
      </w:r>
    </w:p>
    <w:p w14:paraId="0A15E6C3">
      <w:pPr>
        <w:spacing w:line="46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w:t>
      </w:r>
      <w:r>
        <w:rPr>
          <w:rFonts w:ascii="仿宋_GB2312" w:eastAsia="仿宋_GB2312"/>
          <w:color w:val="auto"/>
          <w:sz w:val="24"/>
          <w:highlight w:val="none"/>
        </w:rPr>
        <w:t>2</w:t>
      </w:r>
      <w:r>
        <w:rPr>
          <w:rFonts w:hint="eastAsia" w:ascii="仿宋_GB2312" w:eastAsia="仿宋_GB2312"/>
          <w:color w:val="auto"/>
          <w:sz w:val="24"/>
          <w:highlight w:val="none"/>
        </w:rPr>
        <w:t>）连续6个月同类服务区同业态排名倒数前2名；</w:t>
      </w:r>
    </w:p>
    <w:p w14:paraId="55AE9129">
      <w:pPr>
        <w:spacing w:line="46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w:t>
      </w:r>
      <w:r>
        <w:rPr>
          <w:rFonts w:ascii="仿宋_GB2312" w:eastAsia="仿宋_GB2312"/>
          <w:color w:val="auto"/>
          <w:sz w:val="24"/>
          <w:highlight w:val="none"/>
        </w:rPr>
        <w:t>3</w:t>
      </w:r>
      <w:r>
        <w:rPr>
          <w:rFonts w:hint="eastAsia" w:ascii="仿宋_GB2312" w:eastAsia="仿宋_GB2312"/>
          <w:color w:val="auto"/>
          <w:sz w:val="24"/>
          <w:highlight w:val="none"/>
        </w:rPr>
        <w:t>）不符合现行行业标准；</w:t>
      </w:r>
    </w:p>
    <w:p w14:paraId="1881E33C">
      <w:pPr>
        <w:spacing w:line="46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w:t>
      </w:r>
      <w:r>
        <w:rPr>
          <w:rFonts w:ascii="仿宋_GB2312" w:eastAsia="仿宋_GB2312"/>
          <w:color w:val="auto"/>
          <w:sz w:val="24"/>
          <w:highlight w:val="none"/>
        </w:rPr>
        <w:t>4</w:t>
      </w:r>
      <w:r>
        <w:rPr>
          <w:rFonts w:hint="eastAsia" w:ascii="仿宋_GB2312" w:eastAsia="仿宋_GB2312"/>
          <w:color w:val="auto"/>
          <w:sz w:val="24"/>
          <w:highlight w:val="none"/>
        </w:rPr>
        <w:t>）文明服务、价格管理等平台运行规范配合明显不到位的；</w:t>
      </w:r>
    </w:p>
    <w:p w14:paraId="5AE7EAF0">
      <w:pPr>
        <w:spacing w:line="46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w:t>
      </w:r>
      <w:r>
        <w:rPr>
          <w:rFonts w:ascii="仿宋_GB2312" w:eastAsia="仿宋_GB2312"/>
          <w:color w:val="auto"/>
          <w:sz w:val="24"/>
          <w:highlight w:val="none"/>
        </w:rPr>
        <w:t>5</w:t>
      </w:r>
      <w:r>
        <w:rPr>
          <w:rFonts w:hint="eastAsia" w:ascii="仿宋_GB2312" w:eastAsia="仿宋_GB2312"/>
          <w:color w:val="auto"/>
          <w:sz w:val="24"/>
          <w:highlight w:val="none"/>
        </w:rPr>
        <w:t>）一个合同年度内甲方发出</w:t>
      </w:r>
      <w:r>
        <w:rPr>
          <w:rFonts w:hint="eastAsia" w:ascii="仿宋_GB2312" w:eastAsia="仿宋_GB2312"/>
          <w:color w:val="auto"/>
          <w:sz w:val="24"/>
          <w:highlight w:val="none"/>
          <w:lang w:val="en-US" w:eastAsia="zh-CN"/>
        </w:rPr>
        <w:t>3</w:t>
      </w:r>
      <w:r>
        <w:rPr>
          <w:rFonts w:hint="eastAsia" w:ascii="仿宋_GB2312" w:eastAsia="仿宋_GB2312"/>
          <w:color w:val="auto"/>
          <w:sz w:val="24"/>
          <w:highlight w:val="none"/>
        </w:rPr>
        <w:t>次以上（含</w:t>
      </w:r>
      <w:r>
        <w:rPr>
          <w:rFonts w:hint="eastAsia" w:ascii="仿宋_GB2312" w:eastAsia="仿宋_GB2312"/>
          <w:color w:val="auto"/>
          <w:sz w:val="24"/>
          <w:highlight w:val="none"/>
          <w:lang w:val="en-US" w:eastAsia="zh-CN"/>
        </w:rPr>
        <w:t>3次</w:t>
      </w:r>
      <w:r>
        <w:rPr>
          <w:rFonts w:hint="eastAsia" w:ascii="仿宋_GB2312" w:eastAsia="仿宋_GB2312"/>
          <w:color w:val="auto"/>
          <w:sz w:val="24"/>
          <w:highlight w:val="none"/>
        </w:rPr>
        <w:t>）整改通知书的。</w:t>
      </w:r>
    </w:p>
    <w:p w14:paraId="72F14EF1">
      <w:pPr>
        <w:spacing w:line="460" w:lineRule="exact"/>
        <w:ind w:firstLine="482" w:firstLineChars="200"/>
        <w:rPr>
          <w:rFonts w:ascii="仿宋_GB2312" w:eastAsia="仿宋_GB2312"/>
          <w:b/>
          <w:color w:val="auto"/>
          <w:sz w:val="24"/>
          <w:highlight w:val="none"/>
        </w:rPr>
      </w:pPr>
      <w:r>
        <w:rPr>
          <w:rFonts w:ascii="仿宋_GB2312" w:eastAsia="仿宋_GB2312"/>
          <w:b/>
          <w:color w:val="auto"/>
          <w:sz w:val="24"/>
          <w:highlight w:val="none"/>
        </w:rPr>
        <w:t xml:space="preserve">4. </w:t>
      </w:r>
      <w:r>
        <w:rPr>
          <w:rFonts w:hint="eastAsia" w:ascii="仿宋_GB2312" w:eastAsia="仿宋_GB2312"/>
          <w:b/>
          <w:color w:val="auto"/>
          <w:sz w:val="24"/>
          <w:highlight w:val="none"/>
        </w:rPr>
        <w:t>因甲方或上级单位发展战略调整等原因需提前与乙方解除合同的，甲方应提前三个月书面告知乙方，乙方应给予支持；乙方的固定装修费用摊销年限，以账面摊销年限或合同年限之中较低者为准，甲方对合同尚未履行期间的乙方固定装修费用（如双方协商不成以评估价值为准）进行补偿</w:t>
      </w:r>
      <w:r>
        <w:rPr>
          <w:rFonts w:hint="eastAsia" w:ascii="仿宋_GB2312" w:eastAsia="仿宋_GB2312"/>
          <w:b/>
          <w:color w:val="auto"/>
          <w:sz w:val="24"/>
          <w:highlight w:val="none"/>
          <w:lang w:eastAsia="zh-CN"/>
        </w:rPr>
        <w:t>，</w:t>
      </w:r>
      <w:r>
        <w:rPr>
          <w:rFonts w:hint="eastAsia" w:ascii="仿宋_GB2312" w:eastAsia="仿宋_GB2312"/>
          <w:b/>
          <w:color w:val="auto"/>
          <w:sz w:val="24"/>
          <w:highlight w:val="none"/>
          <w:lang w:val="en-US" w:eastAsia="zh-CN"/>
        </w:rPr>
        <w:t>但不承担其他责任</w:t>
      </w:r>
      <w:r>
        <w:rPr>
          <w:rFonts w:hint="eastAsia" w:ascii="仿宋_GB2312" w:eastAsia="仿宋_GB2312"/>
          <w:b/>
          <w:color w:val="auto"/>
          <w:sz w:val="24"/>
          <w:highlight w:val="none"/>
        </w:rPr>
        <w:t>。</w:t>
      </w:r>
    </w:p>
    <w:p w14:paraId="63504F52">
      <w:pPr>
        <w:spacing w:line="460" w:lineRule="exact"/>
        <w:ind w:firstLine="482" w:firstLineChars="200"/>
        <w:rPr>
          <w:rFonts w:hint="eastAsia" w:ascii="仿宋_GB2312" w:eastAsia="仿宋_GB2312"/>
          <w:b/>
          <w:color w:val="auto"/>
          <w:sz w:val="24"/>
          <w:highlight w:val="none"/>
        </w:rPr>
      </w:pPr>
      <w:r>
        <w:rPr>
          <w:rFonts w:hint="eastAsia" w:ascii="仿宋_GB2312" w:eastAsia="仿宋_GB2312"/>
          <w:b/>
          <w:color w:val="auto"/>
          <w:sz w:val="24"/>
          <w:highlight w:val="none"/>
        </w:rPr>
        <w:t>5．</w:t>
      </w:r>
      <w:r>
        <w:rPr>
          <w:rFonts w:hint="eastAsia" w:ascii="仿宋_GB2312" w:eastAsia="仿宋_GB2312"/>
          <w:bCs/>
          <w:color w:val="auto"/>
          <w:sz w:val="24"/>
          <w:highlight w:val="none"/>
        </w:rPr>
        <w:t>乙方经营项目经营</w:t>
      </w:r>
      <w:r>
        <w:rPr>
          <w:rFonts w:hint="eastAsia" w:ascii="仿宋_GB2312" w:eastAsia="仿宋_GB2312"/>
          <w:bCs/>
          <w:color w:val="auto"/>
          <w:sz w:val="24"/>
          <w:highlight w:val="none"/>
          <w:lang w:val="en-US" w:eastAsia="zh-CN"/>
        </w:rPr>
        <w:t>期</w:t>
      </w:r>
      <w:r>
        <w:rPr>
          <w:rFonts w:hint="eastAsia" w:ascii="仿宋_GB2312" w:eastAsia="仿宋_GB2312"/>
          <w:bCs/>
          <w:color w:val="auto"/>
          <w:sz w:val="24"/>
          <w:highlight w:val="none"/>
        </w:rPr>
        <w:t>满6个月且提前3个月提出退场或愿意缴纳3个月经营管理费的</w:t>
      </w:r>
      <w:r>
        <w:rPr>
          <w:rFonts w:hint="eastAsia" w:ascii="仿宋_GB2312" w:eastAsia="仿宋_GB2312"/>
          <w:bCs/>
          <w:color w:val="auto"/>
          <w:sz w:val="24"/>
          <w:highlight w:val="none"/>
          <w:lang w:eastAsia="zh-CN"/>
        </w:rPr>
        <w:t>（</w:t>
      </w:r>
      <w:r>
        <w:rPr>
          <w:rFonts w:hint="eastAsia" w:ascii="仿宋_GB2312" w:eastAsia="仿宋_GB2312"/>
          <w:bCs/>
          <w:color w:val="auto"/>
          <w:sz w:val="24"/>
          <w:highlight w:val="none"/>
        </w:rPr>
        <w:t>即撤场时应保证</w:t>
      </w:r>
      <w:r>
        <w:rPr>
          <w:rFonts w:hint="eastAsia" w:ascii="仿宋_GB2312" w:eastAsia="仿宋_GB2312"/>
          <w:bCs/>
          <w:color w:val="auto"/>
          <w:sz w:val="24"/>
          <w:highlight w:val="none"/>
          <w:lang w:val="en-US" w:eastAsia="zh-CN"/>
        </w:rPr>
        <w:t>至少</w:t>
      </w:r>
      <w:r>
        <w:rPr>
          <w:rFonts w:hint="eastAsia" w:ascii="仿宋_GB2312" w:eastAsia="仿宋_GB2312"/>
          <w:bCs/>
          <w:color w:val="auto"/>
          <w:sz w:val="24"/>
          <w:highlight w:val="none"/>
        </w:rPr>
        <w:t>已经营满9个月或已经</w:t>
      </w:r>
      <w:r>
        <w:rPr>
          <w:rFonts w:hint="eastAsia" w:ascii="仿宋_GB2312" w:eastAsia="仿宋_GB2312"/>
          <w:bCs/>
          <w:color w:val="auto"/>
          <w:sz w:val="24"/>
          <w:highlight w:val="none"/>
          <w:lang w:val="en-US" w:eastAsia="zh-CN"/>
        </w:rPr>
        <w:t>经</w:t>
      </w:r>
      <w:r>
        <w:rPr>
          <w:rFonts w:hint="eastAsia" w:ascii="仿宋_GB2312" w:eastAsia="仿宋_GB2312"/>
          <w:bCs/>
          <w:color w:val="auto"/>
          <w:sz w:val="24"/>
          <w:highlight w:val="none"/>
        </w:rPr>
        <w:t>营满6个月并已缴纳后3个月经营管理</w:t>
      </w:r>
      <w:r>
        <w:rPr>
          <w:rFonts w:hint="eastAsia" w:ascii="仿宋_GB2312" w:eastAsia="仿宋_GB2312"/>
          <w:bCs/>
          <w:color w:val="auto"/>
          <w:sz w:val="24"/>
          <w:highlight w:val="none"/>
          <w:lang w:val="en-US" w:eastAsia="zh-CN"/>
        </w:rPr>
        <w:t>费</w:t>
      </w:r>
      <w:r>
        <w:rPr>
          <w:rFonts w:hint="eastAsia" w:ascii="仿宋_GB2312" w:eastAsia="仿宋_GB2312"/>
          <w:bCs/>
          <w:color w:val="auto"/>
          <w:sz w:val="24"/>
          <w:highlight w:val="none"/>
          <w:lang w:eastAsia="zh-CN"/>
        </w:rPr>
        <w:t>）</w:t>
      </w:r>
      <w:r>
        <w:rPr>
          <w:rFonts w:hint="eastAsia" w:ascii="仿宋_GB2312" w:eastAsia="仿宋_GB2312"/>
          <w:bCs/>
          <w:color w:val="auto"/>
          <w:sz w:val="24"/>
          <w:highlight w:val="none"/>
        </w:rPr>
        <w:t>，</w:t>
      </w:r>
      <w:r>
        <w:rPr>
          <w:rFonts w:hint="eastAsia" w:ascii="仿宋_GB2312" w:eastAsia="仿宋_GB2312"/>
          <w:bCs/>
          <w:color w:val="auto"/>
          <w:sz w:val="24"/>
          <w:highlight w:val="none"/>
          <w:lang w:val="en-US" w:eastAsia="zh-CN"/>
        </w:rPr>
        <w:t>可向甲方提请书面撤场申请。经</w:t>
      </w:r>
      <w:r>
        <w:rPr>
          <w:rFonts w:hint="eastAsia" w:ascii="仿宋_GB2312" w:eastAsia="仿宋_GB2312"/>
          <w:bCs/>
          <w:color w:val="auto"/>
          <w:sz w:val="24"/>
          <w:highlight w:val="none"/>
        </w:rPr>
        <w:t>甲方</w:t>
      </w:r>
      <w:r>
        <w:rPr>
          <w:rFonts w:hint="eastAsia" w:ascii="仿宋_GB2312" w:eastAsia="仿宋_GB2312"/>
          <w:bCs/>
          <w:color w:val="auto"/>
          <w:sz w:val="24"/>
          <w:highlight w:val="none"/>
          <w:lang w:val="en-US" w:eastAsia="zh-CN"/>
        </w:rPr>
        <w:t>审核通过的，乙方应</w:t>
      </w:r>
      <w:r>
        <w:rPr>
          <w:rFonts w:hint="eastAsia" w:ascii="仿宋_GB2312" w:eastAsia="仿宋_GB2312"/>
          <w:bCs/>
          <w:color w:val="auto"/>
          <w:sz w:val="24"/>
          <w:highlight w:val="none"/>
        </w:rPr>
        <w:t>按要求签订提前终止协议，合同终止时间以甲方书面批复为准，如经营期内存在需扣除履约保证金情形的，则扣除相关履约保证金；若未通过甲方审批的或未签署书面提前终止协议的，乙方仍需继续履行本合同。</w:t>
      </w:r>
    </w:p>
    <w:p w14:paraId="0C14C1D5">
      <w:pPr>
        <w:spacing w:line="460" w:lineRule="exact"/>
        <w:ind w:firstLine="482" w:firstLineChars="200"/>
        <w:rPr>
          <w:rFonts w:ascii="仿宋_GB2312" w:eastAsia="仿宋_GB2312"/>
          <w:b/>
          <w:color w:val="auto"/>
          <w:sz w:val="24"/>
          <w:highlight w:val="none"/>
        </w:rPr>
      </w:pPr>
      <w:r>
        <w:rPr>
          <w:rFonts w:hint="eastAsia" w:ascii="仿宋_GB2312" w:eastAsia="仿宋_GB2312"/>
          <w:b/>
          <w:color w:val="auto"/>
          <w:sz w:val="24"/>
          <w:highlight w:val="none"/>
        </w:rPr>
        <w:t>十</w:t>
      </w:r>
      <w:r>
        <w:rPr>
          <w:rFonts w:hint="eastAsia" w:ascii="仿宋_GB2312" w:eastAsia="仿宋_GB2312"/>
          <w:b/>
          <w:color w:val="auto"/>
          <w:sz w:val="24"/>
          <w:highlight w:val="none"/>
          <w:lang w:val="en-US" w:eastAsia="zh-CN"/>
        </w:rPr>
        <w:t>二</w:t>
      </w:r>
      <w:r>
        <w:rPr>
          <w:rFonts w:hint="eastAsia" w:ascii="仿宋_GB2312" w:eastAsia="仿宋_GB2312"/>
          <w:b/>
          <w:color w:val="auto"/>
          <w:sz w:val="24"/>
          <w:highlight w:val="none"/>
        </w:rPr>
        <w:t>、违约责任</w:t>
      </w:r>
    </w:p>
    <w:p w14:paraId="4955BF36">
      <w:pPr>
        <w:spacing w:line="460" w:lineRule="exact"/>
        <w:ind w:firstLine="480"/>
        <w:rPr>
          <w:rFonts w:ascii="仿宋_GB2312" w:hAnsi="宋体" w:eastAsia="仿宋_GB2312"/>
          <w:color w:val="auto"/>
          <w:sz w:val="24"/>
          <w:highlight w:val="none"/>
        </w:rPr>
      </w:pPr>
      <w:r>
        <w:rPr>
          <w:rFonts w:hint="eastAsia" w:ascii="仿宋_GB2312" w:eastAsia="仿宋_GB2312"/>
          <w:color w:val="auto"/>
          <w:sz w:val="24"/>
          <w:highlight w:val="none"/>
        </w:rPr>
        <w:t>1.乙方未依约支付</w:t>
      </w:r>
      <w:r>
        <w:rPr>
          <w:rFonts w:hint="eastAsia" w:ascii="仿宋_GB2312" w:hAnsi="宋体" w:eastAsia="仿宋_GB2312"/>
          <w:color w:val="auto"/>
          <w:sz w:val="24"/>
          <w:highlight w:val="none"/>
        </w:rPr>
        <w:t>合同约定的相关费用的，应当以应付未付的金额为基数，支付每日千分之一的违约金。</w:t>
      </w:r>
    </w:p>
    <w:p w14:paraId="014EAB36">
      <w:pPr>
        <w:spacing w:line="460" w:lineRule="exact"/>
        <w:ind w:firstLine="480"/>
        <w:rPr>
          <w:rFonts w:ascii="仿宋_GB2312" w:hAnsi="宋体" w:eastAsia="仿宋_GB2312"/>
          <w:color w:val="auto"/>
          <w:sz w:val="24"/>
          <w:highlight w:val="none"/>
        </w:rPr>
      </w:pPr>
      <w:r>
        <w:rPr>
          <w:rFonts w:hint="eastAsia" w:ascii="仿宋_GB2312" w:hAnsi="宋体" w:eastAsia="仿宋_GB2312"/>
          <w:color w:val="auto"/>
          <w:sz w:val="24"/>
          <w:highlight w:val="none"/>
        </w:rPr>
        <w:t>2.未按要求腾退场地、移交搬离设备、办理结算的，</w:t>
      </w:r>
      <w:r>
        <w:rPr>
          <w:rFonts w:hint="eastAsia" w:ascii="仿宋_GB2312" w:eastAsia="仿宋_GB2312"/>
          <w:color w:val="auto"/>
          <w:sz w:val="24"/>
          <w:highlight w:val="none"/>
        </w:rPr>
        <w:t>每逾期一天，乙方应以本合同解除或终止之日所在合同年度的日</w:t>
      </w:r>
      <w:r>
        <w:rPr>
          <w:rFonts w:hint="eastAsia" w:ascii="仿宋_GB2312" w:hAnsi="宋体" w:eastAsia="仿宋_GB2312"/>
          <w:color w:val="auto"/>
          <w:sz w:val="24"/>
          <w:highlight w:val="none"/>
          <w:lang w:val="en-GB"/>
        </w:rPr>
        <w:t>含税</w:t>
      </w:r>
      <w:r>
        <w:rPr>
          <w:rFonts w:hint="eastAsia" w:ascii="仿宋_GB2312" w:eastAsia="仿宋_GB2312"/>
          <w:color w:val="auto"/>
          <w:sz w:val="24"/>
          <w:highlight w:val="none"/>
          <w:lang w:eastAsia="zh-CN"/>
        </w:rPr>
        <w:t>固定</w:t>
      </w:r>
      <w:r>
        <w:rPr>
          <w:rFonts w:hint="eastAsia" w:ascii="仿宋_GB2312" w:eastAsia="仿宋_GB2312"/>
          <w:color w:val="auto"/>
          <w:sz w:val="24"/>
          <w:highlight w:val="none"/>
        </w:rPr>
        <w:t>经营管理费的双倍支付甲方违约金。</w:t>
      </w:r>
    </w:p>
    <w:p w14:paraId="090E9A18">
      <w:pPr>
        <w:spacing w:line="460" w:lineRule="exact"/>
        <w:ind w:firstLine="480"/>
        <w:rPr>
          <w:rFonts w:ascii="仿宋_GB2312" w:eastAsia="仿宋_GB2312"/>
          <w:color w:val="auto"/>
          <w:sz w:val="24"/>
          <w:highlight w:val="none"/>
        </w:rPr>
      </w:pPr>
      <w:r>
        <w:rPr>
          <w:rFonts w:hint="eastAsia" w:ascii="仿宋_GB2312" w:eastAsia="仿宋_GB2312"/>
          <w:color w:val="auto"/>
          <w:sz w:val="24"/>
          <w:highlight w:val="none"/>
        </w:rPr>
        <w:t>3.因不可抗力不能履行合同的，根据不可抗力的影响，部分或全部免除责任，但法律另有规定的除外；因迟延履行后发生不可抗力的，不能免除责任。</w:t>
      </w:r>
    </w:p>
    <w:p w14:paraId="5ABCE50A">
      <w:pPr>
        <w:spacing w:line="460" w:lineRule="exact"/>
        <w:ind w:firstLine="480"/>
        <w:rPr>
          <w:rFonts w:ascii="仿宋_GB2312" w:eastAsia="仿宋_GB2312"/>
          <w:color w:val="auto"/>
          <w:sz w:val="24"/>
          <w:highlight w:val="none"/>
        </w:rPr>
      </w:pPr>
      <w:r>
        <w:rPr>
          <w:rFonts w:hint="eastAsia" w:ascii="仿宋_GB2312" w:eastAsia="仿宋_GB2312"/>
          <w:color w:val="auto"/>
          <w:sz w:val="24"/>
          <w:highlight w:val="none"/>
        </w:rPr>
        <w:t>4.</w:t>
      </w:r>
      <w:r>
        <w:rPr>
          <w:rFonts w:ascii="仿宋_GB2312" w:eastAsia="仿宋_GB2312"/>
          <w:color w:val="auto"/>
          <w:sz w:val="24"/>
          <w:highlight w:val="none"/>
        </w:rPr>
        <w:t>乙方未按照</w:t>
      </w:r>
      <w:r>
        <w:rPr>
          <w:rFonts w:hint="eastAsia" w:ascii="仿宋_GB2312" w:eastAsia="仿宋_GB2312"/>
          <w:color w:val="auto"/>
          <w:sz w:val="24"/>
          <w:highlight w:val="none"/>
        </w:rPr>
        <w:t>本合同</w:t>
      </w:r>
      <w:r>
        <w:rPr>
          <w:rFonts w:ascii="仿宋_GB2312" w:eastAsia="仿宋_GB2312"/>
          <w:color w:val="auto"/>
          <w:sz w:val="24"/>
          <w:highlight w:val="none"/>
        </w:rPr>
        <w:t>约定经营的，</w:t>
      </w:r>
      <w:r>
        <w:rPr>
          <w:rFonts w:hint="eastAsia" w:ascii="仿宋_GB2312" w:eastAsia="仿宋_GB2312"/>
          <w:color w:val="auto"/>
          <w:sz w:val="24"/>
          <w:highlight w:val="none"/>
        </w:rPr>
        <w:t>应在</w:t>
      </w:r>
      <w:r>
        <w:rPr>
          <w:rFonts w:ascii="仿宋_GB2312" w:eastAsia="仿宋_GB2312"/>
          <w:color w:val="auto"/>
          <w:sz w:val="24"/>
          <w:highlight w:val="none"/>
        </w:rPr>
        <w:t>接到甲方书面通知后</w:t>
      </w:r>
      <w:r>
        <w:rPr>
          <w:rFonts w:hint="eastAsia" w:ascii="仿宋_GB2312" w:eastAsia="仿宋_GB2312"/>
          <w:color w:val="auto"/>
          <w:sz w:val="24"/>
          <w:highlight w:val="none"/>
        </w:rPr>
        <w:t>整改</w:t>
      </w:r>
      <w:r>
        <w:rPr>
          <w:rFonts w:ascii="仿宋_GB2312" w:eastAsia="仿宋_GB2312"/>
          <w:color w:val="auto"/>
          <w:sz w:val="24"/>
          <w:highlight w:val="none"/>
        </w:rPr>
        <w:t>并向甲方支付违约金人民币</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万元</w:t>
      </w:r>
      <w:r>
        <w:rPr>
          <w:rFonts w:ascii="仿宋_GB2312" w:eastAsia="仿宋_GB2312"/>
          <w:color w:val="auto"/>
          <w:sz w:val="24"/>
          <w:highlight w:val="none"/>
        </w:rPr>
        <w:t>。</w:t>
      </w:r>
    </w:p>
    <w:p w14:paraId="665BD146">
      <w:pPr>
        <w:spacing w:line="460" w:lineRule="exact"/>
        <w:ind w:firstLine="480"/>
        <w:rPr>
          <w:rFonts w:ascii="仿宋_GB2312" w:eastAsia="仿宋_GB2312"/>
          <w:color w:val="auto"/>
          <w:sz w:val="24"/>
          <w:highlight w:val="none"/>
        </w:rPr>
      </w:pPr>
      <w:r>
        <w:rPr>
          <w:rFonts w:hint="eastAsia" w:ascii="仿宋_GB2312" w:eastAsia="仿宋_GB2312"/>
          <w:color w:val="auto"/>
          <w:sz w:val="24"/>
          <w:highlight w:val="none"/>
        </w:rPr>
        <w:t>5.</w:t>
      </w:r>
      <w:r>
        <w:rPr>
          <w:rFonts w:ascii="仿宋_GB2312" w:eastAsia="仿宋_GB2312"/>
          <w:color w:val="auto"/>
          <w:sz w:val="24"/>
          <w:highlight w:val="none"/>
        </w:rPr>
        <w:t>乙方应确保</w:t>
      </w:r>
      <w:r>
        <w:rPr>
          <w:rFonts w:hint="eastAsia" w:ascii="仿宋_GB2312" w:eastAsia="仿宋_GB2312"/>
          <w:color w:val="auto"/>
          <w:sz w:val="24"/>
          <w:highlight w:val="none"/>
        </w:rPr>
        <w:t>与</w:t>
      </w:r>
      <w:r>
        <w:rPr>
          <w:rFonts w:ascii="仿宋_GB2312" w:eastAsia="仿宋_GB2312"/>
          <w:color w:val="auto"/>
          <w:sz w:val="24"/>
          <w:highlight w:val="none"/>
        </w:rPr>
        <w:t>本合同</w:t>
      </w:r>
      <w:r>
        <w:rPr>
          <w:rFonts w:hint="eastAsia" w:ascii="仿宋_GB2312" w:eastAsia="仿宋_GB2312"/>
          <w:color w:val="auto"/>
          <w:sz w:val="24"/>
          <w:highlight w:val="none"/>
        </w:rPr>
        <w:t>相关证件</w:t>
      </w:r>
      <w:r>
        <w:rPr>
          <w:rFonts w:ascii="仿宋_GB2312" w:eastAsia="仿宋_GB2312"/>
          <w:color w:val="auto"/>
          <w:sz w:val="24"/>
          <w:highlight w:val="none"/>
        </w:rPr>
        <w:t>的有效性，</w:t>
      </w:r>
      <w:r>
        <w:rPr>
          <w:rFonts w:hint="eastAsia" w:ascii="仿宋_GB2312" w:eastAsia="仿宋_GB2312"/>
          <w:color w:val="auto"/>
          <w:sz w:val="24"/>
          <w:highlight w:val="none"/>
        </w:rPr>
        <w:t>一经</w:t>
      </w:r>
      <w:r>
        <w:rPr>
          <w:rFonts w:ascii="仿宋_GB2312" w:eastAsia="仿宋_GB2312"/>
          <w:color w:val="auto"/>
          <w:sz w:val="24"/>
          <w:highlight w:val="none"/>
        </w:rPr>
        <w:t>发现存在超过</w:t>
      </w:r>
      <w:r>
        <w:rPr>
          <w:rFonts w:hint="eastAsia" w:ascii="仿宋_GB2312" w:eastAsia="仿宋_GB2312"/>
          <w:color w:val="auto"/>
          <w:sz w:val="24"/>
          <w:highlight w:val="none"/>
        </w:rPr>
        <w:t>证件</w:t>
      </w:r>
      <w:r>
        <w:rPr>
          <w:rFonts w:ascii="仿宋_GB2312" w:eastAsia="仿宋_GB2312"/>
          <w:color w:val="auto"/>
          <w:sz w:val="24"/>
          <w:highlight w:val="none"/>
        </w:rPr>
        <w:t>有效期间经营的，</w:t>
      </w:r>
      <w:r>
        <w:rPr>
          <w:rFonts w:hint="eastAsia" w:ascii="仿宋_GB2312" w:eastAsia="仿宋_GB2312"/>
          <w:color w:val="auto"/>
          <w:sz w:val="24"/>
          <w:highlight w:val="none"/>
        </w:rPr>
        <w:t>应在</w:t>
      </w:r>
      <w:r>
        <w:rPr>
          <w:rFonts w:ascii="仿宋_GB2312" w:eastAsia="仿宋_GB2312"/>
          <w:color w:val="auto"/>
          <w:sz w:val="24"/>
          <w:highlight w:val="none"/>
        </w:rPr>
        <w:t>接到甲方书面通知后</w:t>
      </w:r>
      <w:r>
        <w:rPr>
          <w:rFonts w:hint="eastAsia" w:ascii="仿宋_GB2312" w:eastAsia="仿宋_GB2312"/>
          <w:color w:val="auto"/>
          <w:sz w:val="24"/>
          <w:highlight w:val="none"/>
        </w:rPr>
        <w:t>整改</w:t>
      </w:r>
      <w:r>
        <w:rPr>
          <w:rFonts w:ascii="仿宋_GB2312" w:eastAsia="仿宋_GB2312"/>
          <w:color w:val="auto"/>
          <w:sz w:val="24"/>
          <w:highlight w:val="none"/>
        </w:rPr>
        <w:t>并向甲方支付违约金人民币</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万元</w:t>
      </w:r>
      <w:r>
        <w:rPr>
          <w:rFonts w:ascii="仿宋_GB2312" w:eastAsia="仿宋_GB2312"/>
          <w:color w:val="auto"/>
          <w:sz w:val="24"/>
          <w:highlight w:val="none"/>
        </w:rPr>
        <w:t>。</w:t>
      </w:r>
    </w:p>
    <w:p w14:paraId="40BC597C">
      <w:pPr>
        <w:spacing w:line="46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6.</w:t>
      </w:r>
      <w:r>
        <w:rPr>
          <w:rFonts w:ascii="仿宋_GB2312" w:eastAsia="仿宋_GB2312"/>
          <w:color w:val="auto"/>
          <w:sz w:val="24"/>
          <w:highlight w:val="none"/>
        </w:rPr>
        <w:t>本合同</w:t>
      </w:r>
      <w:r>
        <w:rPr>
          <w:rFonts w:hint="eastAsia" w:ascii="仿宋_GB2312" w:eastAsia="仿宋_GB2312"/>
          <w:color w:val="auto"/>
          <w:sz w:val="24"/>
          <w:highlight w:val="none"/>
        </w:rPr>
        <w:t>有效</w:t>
      </w:r>
      <w:r>
        <w:rPr>
          <w:rFonts w:ascii="仿宋_GB2312" w:eastAsia="仿宋_GB2312"/>
          <w:color w:val="auto"/>
          <w:sz w:val="24"/>
          <w:highlight w:val="none"/>
        </w:rPr>
        <w:t>期内，</w:t>
      </w:r>
      <w:r>
        <w:rPr>
          <w:rFonts w:hint="eastAsia" w:ascii="仿宋_GB2312" w:eastAsia="仿宋_GB2312"/>
          <w:color w:val="auto"/>
          <w:sz w:val="24"/>
          <w:highlight w:val="none"/>
        </w:rPr>
        <w:t>乙方</w:t>
      </w:r>
      <w:r>
        <w:rPr>
          <w:rFonts w:ascii="仿宋_GB2312" w:eastAsia="仿宋_GB2312"/>
          <w:color w:val="auto"/>
          <w:sz w:val="24"/>
          <w:highlight w:val="none"/>
        </w:rPr>
        <w:t>遭受行政机关</w:t>
      </w:r>
      <w:r>
        <w:rPr>
          <w:rFonts w:hint="eastAsia" w:ascii="仿宋_GB2312" w:eastAsia="仿宋_GB2312"/>
          <w:color w:val="auto"/>
          <w:sz w:val="24"/>
          <w:highlight w:val="none"/>
        </w:rPr>
        <w:t>行政</w:t>
      </w:r>
      <w:r>
        <w:rPr>
          <w:rFonts w:ascii="仿宋_GB2312" w:eastAsia="仿宋_GB2312"/>
          <w:color w:val="auto"/>
          <w:sz w:val="24"/>
          <w:highlight w:val="none"/>
        </w:rPr>
        <w:t>处罚的，</w:t>
      </w:r>
      <w:r>
        <w:rPr>
          <w:rFonts w:hint="eastAsia" w:ascii="仿宋_GB2312" w:eastAsia="仿宋_GB2312"/>
          <w:color w:val="auto"/>
          <w:sz w:val="24"/>
          <w:highlight w:val="none"/>
        </w:rPr>
        <w:t>应</w:t>
      </w:r>
      <w:r>
        <w:rPr>
          <w:rFonts w:ascii="仿宋_GB2312" w:eastAsia="仿宋_GB2312"/>
          <w:color w:val="auto"/>
          <w:sz w:val="24"/>
          <w:highlight w:val="none"/>
        </w:rPr>
        <w:t>每次</w:t>
      </w:r>
      <w:r>
        <w:rPr>
          <w:rFonts w:hint="eastAsia" w:ascii="仿宋_GB2312" w:eastAsia="仿宋_GB2312"/>
          <w:color w:val="auto"/>
          <w:sz w:val="24"/>
          <w:highlight w:val="none"/>
        </w:rPr>
        <w:t>向</w:t>
      </w:r>
      <w:r>
        <w:rPr>
          <w:rFonts w:ascii="仿宋_GB2312" w:eastAsia="仿宋_GB2312"/>
          <w:color w:val="auto"/>
          <w:sz w:val="24"/>
          <w:highlight w:val="none"/>
        </w:rPr>
        <w:t>甲方支付违约金人民币</w:t>
      </w:r>
      <w:r>
        <w:rPr>
          <w:rFonts w:hint="eastAsia" w:ascii="仿宋_GB2312" w:eastAsia="仿宋_GB2312"/>
          <w:color w:val="auto"/>
          <w:sz w:val="24"/>
          <w:highlight w:val="none"/>
          <w:u w:val="single"/>
          <w:lang w:val="en-US" w:eastAsia="zh-CN"/>
        </w:rPr>
        <w:t xml:space="preserve">    </w:t>
      </w:r>
      <w:r>
        <w:rPr>
          <w:rFonts w:hint="eastAsia" w:ascii="仿宋_GB2312" w:eastAsia="仿宋_GB2312"/>
          <w:color w:val="auto"/>
          <w:sz w:val="24"/>
          <w:highlight w:val="none"/>
        </w:rPr>
        <w:t>万元</w:t>
      </w:r>
      <w:r>
        <w:rPr>
          <w:rFonts w:ascii="仿宋_GB2312" w:eastAsia="仿宋_GB2312"/>
          <w:color w:val="auto"/>
          <w:sz w:val="24"/>
          <w:highlight w:val="none"/>
        </w:rPr>
        <w:t>，</w:t>
      </w:r>
      <w:r>
        <w:rPr>
          <w:rFonts w:hint="eastAsia" w:ascii="仿宋_GB2312" w:eastAsia="仿宋_GB2312"/>
          <w:color w:val="auto"/>
          <w:sz w:val="24"/>
          <w:highlight w:val="none"/>
        </w:rPr>
        <w:t>乙方</w:t>
      </w:r>
      <w:r>
        <w:rPr>
          <w:rFonts w:ascii="仿宋_GB2312" w:eastAsia="仿宋_GB2312"/>
          <w:color w:val="auto"/>
          <w:sz w:val="24"/>
          <w:highlight w:val="none"/>
        </w:rPr>
        <w:t>遭受行政机关行政处罚</w:t>
      </w:r>
      <w:r>
        <w:rPr>
          <w:rFonts w:hint="eastAsia" w:ascii="仿宋_GB2312" w:eastAsia="仿宋_GB2312"/>
          <w:color w:val="auto"/>
          <w:sz w:val="24"/>
          <w:highlight w:val="none"/>
          <w:lang w:val="en-US" w:eastAsia="zh-CN"/>
        </w:rPr>
        <w:t>3次以上</w:t>
      </w:r>
      <w:r>
        <w:rPr>
          <w:rFonts w:hint="default" w:ascii="仿宋_GB2312" w:hAnsi="Times New Roman" w:eastAsia="仿宋_GB2312" w:cs="Times New Roman"/>
          <w:color w:val="auto"/>
          <w:sz w:val="24"/>
          <w:szCs w:val="24"/>
          <w:highlight w:val="none"/>
          <w:lang w:val="en-US" w:eastAsia="zh-CN"/>
        </w:rPr>
        <w:t>（含</w:t>
      </w:r>
      <w:r>
        <w:rPr>
          <w:rFonts w:hint="eastAsia" w:ascii="仿宋_GB2312" w:eastAsia="仿宋_GB2312" w:cs="Times New Roman"/>
          <w:color w:val="auto"/>
          <w:sz w:val="24"/>
          <w:szCs w:val="24"/>
          <w:highlight w:val="none"/>
          <w:lang w:val="en-US" w:eastAsia="zh-CN"/>
        </w:rPr>
        <w:t>3</w:t>
      </w:r>
      <w:r>
        <w:rPr>
          <w:rFonts w:hint="default" w:ascii="仿宋_GB2312" w:hAnsi="Times New Roman" w:eastAsia="仿宋_GB2312" w:cs="Times New Roman"/>
          <w:color w:val="auto"/>
          <w:sz w:val="24"/>
          <w:szCs w:val="24"/>
          <w:highlight w:val="none"/>
          <w:lang w:val="en-US" w:eastAsia="zh-CN"/>
        </w:rPr>
        <w:t>次）</w:t>
      </w:r>
      <w:r>
        <w:rPr>
          <w:rFonts w:ascii="仿宋_GB2312" w:eastAsia="仿宋_GB2312"/>
          <w:color w:val="auto"/>
          <w:sz w:val="24"/>
          <w:highlight w:val="none"/>
        </w:rPr>
        <w:t>的，</w:t>
      </w:r>
      <w:r>
        <w:rPr>
          <w:rFonts w:hint="eastAsia" w:ascii="仿宋_GB2312" w:eastAsia="仿宋_GB2312"/>
          <w:color w:val="auto"/>
          <w:sz w:val="24"/>
          <w:highlight w:val="none"/>
        </w:rPr>
        <w:t>甲方</w:t>
      </w:r>
      <w:r>
        <w:rPr>
          <w:rFonts w:ascii="仿宋_GB2312" w:eastAsia="仿宋_GB2312"/>
          <w:color w:val="auto"/>
          <w:sz w:val="24"/>
          <w:highlight w:val="none"/>
        </w:rPr>
        <w:t>有权按照本合同第十</w:t>
      </w:r>
      <w:r>
        <w:rPr>
          <w:rFonts w:hint="eastAsia" w:ascii="仿宋_GB2312" w:eastAsia="仿宋_GB2312"/>
          <w:color w:val="auto"/>
          <w:sz w:val="24"/>
          <w:highlight w:val="none"/>
          <w:lang w:val="en-US" w:eastAsia="zh-CN"/>
        </w:rPr>
        <w:t>一</w:t>
      </w:r>
      <w:r>
        <w:rPr>
          <w:rFonts w:ascii="仿宋_GB2312" w:eastAsia="仿宋_GB2312"/>
          <w:color w:val="auto"/>
          <w:sz w:val="24"/>
          <w:highlight w:val="none"/>
        </w:rPr>
        <w:t>条第1</w:t>
      </w:r>
      <w:r>
        <w:rPr>
          <w:rFonts w:hint="eastAsia" w:ascii="仿宋_GB2312" w:eastAsia="仿宋_GB2312"/>
          <w:color w:val="auto"/>
          <w:sz w:val="24"/>
          <w:highlight w:val="none"/>
        </w:rPr>
        <w:t>款</w:t>
      </w:r>
      <w:r>
        <w:rPr>
          <w:rFonts w:ascii="仿宋_GB2312" w:eastAsia="仿宋_GB2312"/>
          <w:color w:val="auto"/>
          <w:sz w:val="24"/>
          <w:highlight w:val="none"/>
        </w:rPr>
        <w:t>处理。</w:t>
      </w:r>
    </w:p>
    <w:p w14:paraId="187462B9">
      <w:pPr>
        <w:keepNext w:val="0"/>
        <w:keepLines w:val="0"/>
        <w:pageBreakBefore w:val="0"/>
        <w:widowControl/>
        <w:numPr>
          <w:ilvl w:val="-1"/>
          <w:numId w:val="0"/>
        </w:numPr>
        <w:kinsoku/>
        <w:wordWrap/>
        <w:overflowPunct/>
        <w:topLinePunct w:val="0"/>
        <w:autoSpaceDE/>
        <w:autoSpaceDN/>
        <w:bidi w:val="0"/>
        <w:adjustRightInd/>
        <w:snapToGrid/>
        <w:spacing w:line="460" w:lineRule="exact"/>
        <w:ind w:firstLine="480" w:firstLineChars="0"/>
        <w:textAlignment w:val="auto"/>
        <w:rPr>
          <w:rFonts w:hint="default" w:ascii="仿宋_GB2312" w:hAnsi="Times New Roman" w:eastAsia="仿宋_GB2312" w:cs="Times New Roman"/>
          <w:color w:val="auto"/>
          <w:sz w:val="24"/>
          <w:szCs w:val="24"/>
          <w:highlight w:val="none"/>
          <w:lang w:val="en-US" w:eastAsia="zh-CN"/>
        </w:rPr>
      </w:pPr>
      <w:r>
        <w:rPr>
          <w:rFonts w:hint="default" w:ascii="仿宋_GB2312" w:eastAsia="仿宋_GB2312"/>
          <w:color w:val="auto"/>
          <w:sz w:val="24"/>
          <w:highlight w:val="none"/>
          <w:lang w:val="en-US" w:eastAsia="zh-CN"/>
        </w:rPr>
        <w:t>7.</w:t>
      </w:r>
      <w:r>
        <w:rPr>
          <w:rFonts w:hint="default" w:ascii="仿宋_GB2312" w:hAnsi="Times New Roman" w:eastAsia="仿宋_GB2312" w:cs="Times New Roman"/>
          <w:color w:val="auto"/>
          <w:sz w:val="24"/>
          <w:szCs w:val="24"/>
          <w:highlight w:val="none"/>
          <w:lang w:val="en-US" w:eastAsia="zh-CN"/>
        </w:rPr>
        <w:t>同一服务区单个经营年度内，因乙方原因产生有责投诉的，每发生一次，甲方有权按首年固定经营管理费的10%标准从合同履约保证金中扣除相应违约金。有责投诉三次以上（含三次）的，甲方有权按照合同约定将乙方列入黑名单，单方解除合同，并没收合同履约保证金，是否为有责投诉以商业集团本部核定为准。</w:t>
      </w:r>
    </w:p>
    <w:p w14:paraId="4F5CEED0">
      <w:pPr>
        <w:spacing w:line="460" w:lineRule="exact"/>
        <w:ind w:firstLine="482" w:firstLineChars="200"/>
        <w:rPr>
          <w:rFonts w:ascii="仿宋_GB2312" w:eastAsia="仿宋_GB2312"/>
          <w:b/>
          <w:color w:val="auto"/>
          <w:sz w:val="24"/>
          <w:highlight w:val="none"/>
        </w:rPr>
      </w:pPr>
      <w:r>
        <w:rPr>
          <w:rFonts w:hint="eastAsia" w:ascii="仿宋_GB2312" w:eastAsia="仿宋_GB2312"/>
          <w:b/>
          <w:color w:val="auto"/>
          <w:sz w:val="24"/>
          <w:highlight w:val="none"/>
        </w:rPr>
        <w:t>十</w:t>
      </w:r>
      <w:r>
        <w:rPr>
          <w:rFonts w:hint="eastAsia" w:ascii="仿宋_GB2312" w:eastAsia="仿宋_GB2312"/>
          <w:b/>
          <w:color w:val="auto"/>
          <w:sz w:val="24"/>
          <w:highlight w:val="none"/>
          <w:lang w:val="en-US" w:eastAsia="zh-CN"/>
        </w:rPr>
        <w:t>三</w:t>
      </w:r>
      <w:r>
        <w:rPr>
          <w:rFonts w:hint="eastAsia" w:ascii="仿宋_GB2312" w:eastAsia="仿宋_GB2312"/>
          <w:b/>
          <w:color w:val="auto"/>
          <w:sz w:val="24"/>
          <w:highlight w:val="none"/>
        </w:rPr>
        <w:t>、合同终止</w:t>
      </w:r>
    </w:p>
    <w:p w14:paraId="7C2D6D12">
      <w:pPr>
        <w:spacing w:line="46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 经营期满或乙方因任何原因提前解除合同的，考虑到服务区服务的连续性和影响力，甲方有权要求乙方依据本合同约定继续经营一段时间，直至新的单位进场。</w:t>
      </w:r>
    </w:p>
    <w:p w14:paraId="19C6E310">
      <w:pPr>
        <w:spacing w:line="46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2. 经营期满后乙方不再续约，或合同提前解除的，在合同</w:t>
      </w:r>
      <w:r>
        <w:rPr>
          <w:rFonts w:ascii="仿宋_GB2312" w:eastAsia="仿宋_GB2312"/>
          <w:color w:val="auto"/>
          <w:sz w:val="24"/>
          <w:highlight w:val="none"/>
        </w:rPr>
        <w:t>解除或</w:t>
      </w:r>
      <w:r>
        <w:rPr>
          <w:rFonts w:hint="eastAsia" w:ascii="仿宋_GB2312" w:eastAsia="仿宋_GB2312"/>
          <w:color w:val="auto"/>
          <w:sz w:val="24"/>
          <w:highlight w:val="none"/>
        </w:rPr>
        <w:t>终止之日起三日内，乙方应将属于甲方的经营场地、场地建筑物、构筑物及附属设施</w:t>
      </w:r>
      <w:r>
        <w:rPr>
          <w:rFonts w:hint="eastAsia" w:ascii="仿宋_GB2312" w:eastAsia="仿宋_GB2312"/>
          <w:color w:val="auto"/>
          <w:sz w:val="24"/>
          <w:highlight w:val="none"/>
          <w:lang w:eastAsia="zh-CN"/>
        </w:rPr>
        <w:t>（设</w:t>
      </w:r>
      <w:r>
        <w:rPr>
          <w:rFonts w:hint="eastAsia" w:ascii="仿宋_GB2312" w:eastAsia="仿宋_GB2312"/>
          <w:color w:val="auto"/>
          <w:sz w:val="24"/>
          <w:highlight w:val="none"/>
        </w:rPr>
        <w:t>备）按合同规定要求移交甲方，乙方不能以任何理由拒绝办理移交。如乙方未按时移交的，则每逾期一天，乙方应以本合同解除或终止之日所在合同年度的日</w:t>
      </w:r>
      <w:r>
        <w:rPr>
          <w:rFonts w:hint="eastAsia" w:ascii="仿宋_GB2312" w:hAnsi="宋体" w:eastAsia="仿宋_GB2312"/>
          <w:color w:val="auto"/>
          <w:sz w:val="24"/>
          <w:highlight w:val="none"/>
          <w:lang w:val="en-GB"/>
        </w:rPr>
        <w:t>含税</w:t>
      </w:r>
      <w:r>
        <w:rPr>
          <w:rFonts w:hint="eastAsia" w:ascii="仿宋_GB2312" w:eastAsia="仿宋_GB2312"/>
          <w:color w:val="auto"/>
          <w:sz w:val="24"/>
          <w:highlight w:val="none"/>
          <w:lang w:eastAsia="zh-CN"/>
        </w:rPr>
        <w:t>固定</w:t>
      </w:r>
      <w:r>
        <w:rPr>
          <w:rFonts w:hint="eastAsia" w:ascii="仿宋_GB2312" w:eastAsia="仿宋_GB2312"/>
          <w:color w:val="auto"/>
          <w:sz w:val="24"/>
          <w:highlight w:val="none"/>
        </w:rPr>
        <w:t>经营管理费的双倍支付甲方违约金。</w:t>
      </w:r>
    </w:p>
    <w:p w14:paraId="32C3BD14">
      <w:pPr>
        <w:spacing w:line="46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乙方移交时应达到如下标准：</w:t>
      </w:r>
    </w:p>
    <w:p w14:paraId="2357E5AC">
      <w:pPr>
        <w:spacing w:line="46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（1）房屋及装修清洁无损坏，如有损坏，按损坏程度赔偿。</w:t>
      </w:r>
    </w:p>
    <w:p w14:paraId="0DDD3C60">
      <w:pPr>
        <w:spacing w:line="46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（2）设施</w:t>
      </w:r>
      <w:r>
        <w:rPr>
          <w:rFonts w:hint="eastAsia" w:ascii="仿宋_GB2312" w:eastAsia="仿宋_GB2312"/>
          <w:color w:val="auto"/>
          <w:sz w:val="24"/>
          <w:highlight w:val="none"/>
          <w:lang w:eastAsia="zh-CN"/>
        </w:rPr>
        <w:t>（设</w:t>
      </w:r>
      <w:r>
        <w:rPr>
          <w:rFonts w:hint="eastAsia" w:ascii="仿宋_GB2312" w:eastAsia="仿宋_GB2312"/>
          <w:color w:val="auto"/>
          <w:sz w:val="24"/>
          <w:highlight w:val="none"/>
        </w:rPr>
        <w:t>备）运行正常完好，如有损坏，按原价正常折旧后赔偿。</w:t>
      </w:r>
    </w:p>
    <w:p w14:paraId="53285E37">
      <w:pPr>
        <w:spacing w:line="46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（3）设施</w:t>
      </w:r>
      <w:r>
        <w:rPr>
          <w:rFonts w:hint="eastAsia" w:ascii="仿宋_GB2312" w:eastAsia="仿宋_GB2312"/>
          <w:color w:val="auto"/>
          <w:sz w:val="24"/>
          <w:highlight w:val="none"/>
          <w:lang w:eastAsia="zh-CN"/>
        </w:rPr>
        <w:t>（设</w:t>
      </w:r>
      <w:r>
        <w:rPr>
          <w:rFonts w:hint="eastAsia" w:ascii="仿宋_GB2312" w:eastAsia="仿宋_GB2312"/>
          <w:color w:val="auto"/>
          <w:sz w:val="24"/>
          <w:highlight w:val="none"/>
        </w:rPr>
        <w:t>备）功能和外表完好。</w:t>
      </w:r>
    </w:p>
    <w:p w14:paraId="4EEC9960">
      <w:pPr>
        <w:spacing w:line="46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乙方移交未达到以上标准的，甲方可自行或委托第三方办理，费用由乙方承担或从乙方交纳的履约保证金中扣除。</w:t>
      </w:r>
    </w:p>
    <w:p w14:paraId="62A38F14">
      <w:pPr>
        <w:spacing w:line="46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乙方移交时，属于乙方投资的生产工具、附属设施等可拆卸设备</w:t>
      </w:r>
      <w:r>
        <w:rPr>
          <w:rFonts w:hint="eastAsia" w:ascii="仿宋_GB2312" w:eastAsia="仿宋_GB2312"/>
          <w:color w:val="auto"/>
          <w:sz w:val="24"/>
          <w:highlight w:val="none"/>
          <w:lang w:eastAsia="zh-CN"/>
        </w:rPr>
        <w:t>及其他</w:t>
      </w:r>
      <w:r>
        <w:rPr>
          <w:rFonts w:hint="eastAsia" w:ascii="仿宋_GB2312" w:eastAsia="仿宋_GB2312"/>
          <w:color w:val="auto"/>
          <w:sz w:val="24"/>
          <w:highlight w:val="none"/>
        </w:rPr>
        <w:t>属于乙方的物品由乙方负责搬走，乙方逾期十日未搬走的，甲方有权自行处理。乙方增加的固定装修（指不可拆卸部分或拆卸后有损场地主体结构及使用性能的情形）</w:t>
      </w:r>
      <w:r>
        <w:rPr>
          <w:rFonts w:ascii="仿宋_GB2312" w:eastAsia="仿宋_GB2312"/>
          <w:color w:val="auto"/>
          <w:sz w:val="24"/>
          <w:highlight w:val="none"/>
        </w:rPr>
        <w:t>无偿</w:t>
      </w:r>
      <w:r>
        <w:rPr>
          <w:rFonts w:hint="eastAsia" w:ascii="仿宋_GB2312" w:eastAsia="仿宋_GB2312"/>
          <w:color w:val="auto"/>
          <w:sz w:val="24"/>
          <w:highlight w:val="none"/>
        </w:rPr>
        <w:t>归甲方所有。</w:t>
      </w:r>
    </w:p>
    <w:p w14:paraId="0810F86A">
      <w:pPr>
        <w:spacing w:line="460" w:lineRule="exact"/>
        <w:ind w:firstLine="472" w:firstLineChars="196"/>
        <w:rPr>
          <w:rFonts w:ascii="仿宋_GB2312" w:eastAsia="仿宋_GB2312"/>
          <w:b/>
          <w:color w:val="auto"/>
          <w:sz w:val="24"/>
          <w:highlight w:val="none"/>
        </w:rPr>
      </w:pPr>
      <w:r>
        <w:rPr>
          <w:rFonts w:hint="eastAsia" w:ascii="仿宋_GB2312" w:eastAsia="仿宋_GB2312"/>
          <w:b/>
          <w:color w:val="auto"/>
          <w:sz w:val="24"/>
          <w:highlight w:val="none"/>
        </w:rPr>
        <w:t>十</w:t>
      </w:r>
      <w:r>
        <w:rPr>
          <w:rFonts w:hint="eastAsia" w:ascii="仿宋_GB2312" w:eastAsia="仿宋_GB2312"/>
          <w:b/>
          <w:color w:val="auto"/>
          <w:sz w:val="24"/>
          <w:highlight w:val="none"/>
          <w:lang w:val="en-US" w:eastAsia="zh-CN"/>
        </w:rPr>
        <w:t>四</w:t>
      </w:r>
      <w:r>
        <w:rPr>
          <w:rFonts w:hint="eastAsia" w:ascii="仿宋_GB2312" w:eastAsia="仿宋_GB2312"/>
          <w:b/>
          <w:color w:val="auto"/>
          <w:sz w:val="24"/>
          <w:highlight w:val="none"/>
        </w:rPr>
        <w:t>、适用法律和争议的解决</w:t>
      </w:r>
    </w:p>
    <w:p w14:paraId="1D14755F">
      <w:pPr>
        <w:spacing w:line="46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 本合同适用中华人民共和国法律。</w:t>
      </w:r>
    </w:p>
    <w:p w14:paraId="04DE1A72">
      <w:pPr>
        <w:spacing w:line="46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2. 因本合同履行引起的任何争议，在不停止服务区营业的前提下，双方应友好协商解决；协商不成，由甲方所在地人民法院裁决。</w:t>
      </w:r>
    </w:p>
    <w:p w14:paraId="4A902DF4">
      <w:pPr>
        <w:spacing w:line="460" w:lineRule="exact"/>
        <w:ind w:firstLine="482" w:firstLineChars="200"/>
        <w:rPr>
          <w:rFonts w:ascii="仿宋_GB2312" w:eastAsia="仿宋_GB2312"/>
          <w:b/>
          <w:color w:val="auto"/>
          <w:sz w:val="24"/>
          <w:highlight w:val="none"/>
        </w:rPr>
      </w:pPr>
      <w:r>
        <w:rPr>
          <w:rFonts w:hint="eastAsia" w:ascii="仿宋_GB2312" w:eastAsia="仿宋_GB2312"/>
          <w:b/>
          <w:color w:val="auto"/>
          <w:sz w:val="24"/>
          <w:highlight w:val="none"/>
        </w:rPr>
        <w:t>十</w:t>
      </w:r>
      <w:r>
        <w:rPr>
          <w:rFonts w:hint="eastAsia" w:ascii="仿宋_GB2312" w:eastAsia="仿宋_GB2312"/>
          <w:b/>
          <w:color w:val="auto"/>
          <w:sz w:val="24"/>
          <w:highlight w:val="none"/>
          <w:lang w:val="en-US" w:eastAsia="zh-CN"/>
        </w:rPr>
        <w:t>五</w:t>
      </w:r>
      <w:r>
        <w:rPr>
          <w:rFonts w:hint="eastAsia" w:ascii="仿宋_GB2312" w:eastAsia="仿宋_GB2312"/>
          <w:b/>
          <w:color w:val="auto"/>
          <w:sz w:val="24"/>
          <w:highlight w:val="none"/>
        </w:rPr>
        <w:t>、合同生效</w:t>
      </w:r>
    </w:p>
    <w:p w14:paraId="532B12BB">
      <w:pPr>
        <w:spacing w:line="46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本合同自甲乙双方签字盖章后生效。</w:t>
      </w:r>
    </w:p>
    <w:p w14:paraId="0842F112">
      <w:pPr>
        <w:spacing w:line="460" w:lineRule="exact"/>
        <w:ind w:firstLine="482" w:firstLineChars="200"/>
        <w:rPr>
          <w:rFonts w:ascii="仿宋_GB2312" w:eastAsia="仿宋_GB2312"/>
          <w:b/>
          <w:color w:val="auto"/>
          <w:sz w:val="24"/>
          <w:highlight w:val="none"/>
        </w:rPr>
      </w:pPr>
      <w:r>
        <w:rPr>
          <w:rFonts w:hint="eastAsia" w:ascii="仿宋_GB2312" w:eastAsia="仿宋_GB2312"/>
          <w:b/>
          <w:color w:val="auto"/>
          <w:sz w:val="24"/>
          <w:highlight w:val="none"/>
        </w:rPr>
        <w:t>十</w:t>
      </w:r>
      <w:r>
        <w:rPr>
          <w:rFonts w:hint="eastAsia" w:ascii="仿宋_GB2312" w:eastAsia="仿宋_GB2312"/>
          <w:b/>
          <w:color w:val="auto"/>
          <w:sz w:val="24"/>
          <w:highlight w:val="none"/>
          <w:lang w:val="en-US" w:eastAsia="zh-CN"/>
        </w:rPr>
        <w:t>六</w:t>
      </w:r>
      <w:r>
        <w:rPr>
          <w:rFonts w:hint="eastAsia" w:ascii="仿宋_GB2312" w:eastAsia="仿宋_GB2312"/>
          <w:b/>
          <w:color w:val="auto"/>
          <w:sz w:val="24"/>
          <w:highlight w:val="none"/>
        </w:rPr>
        <w:t>、</w:t>
      </w:r>
      <w:r>
        <w:rPr>
          <w:rFonts w:ascii="仿宋_GB2312" w:eastAsia="仿宋_GB2312"/>
          <w:b/>
          <w:color w:val="auto"/>
          <w:sz w:val="24"/>
          <w:highlight w:val="none"/>
        </w:rPr>
        <w:t>通知条款</w:t>
      </w:r>
    </w:p>
    <w:p w14:paraId="710A7F84">
      <w:pPr>
        <w:spacing w:line="460" w:lineRule="exact"/>
        <w:ind w:firstLine="480" w:firstLineChars="200"/>
        <w:rPr>
          <w:rFonts w:ascii="仿宋_GB2312" w:eastAsia="仿宋_GB2312"/>
          <w:color w:val="auto"/>
          <w:sz w:val="24"/>
          <w:highlight w:val="none"/>
        </w:rPr>
      </w:pPr>
      <w:r>
        <w:rPr>
          <w:rFonts w:ascii="仿宋_GB2312" w:eastAsia="仿宋_GB2312"/>
          <w:color w:val="auto"/>
          <w:sz w:val="24"/>
          <w:highlight w:val="none"/>
        </w:rPr>
        <w:t xml:space="preserve">1. </w:t>
      </w:r>
      <w:r>
        <w:rPr>
          <w:rFonts w:hint="eastAsia" w:ascii="仿宋_GB2312" w:eastAsia="仿宋_GB2312"/>
          <w:color w:val="auto"/>
          <w:sz w:val="24"/>
          <w:highlight w:val="none"/>
        </w:rPr>
        <w:t>涉及本合同权利义务变化</w:t>
      </w:r>
      <w:r>
        <w:rPr>
          <w:rFonts w:hint="eastAsia" w:ascii="仿宋_GB2312" w:eastAsia="仿宋_GB2312"/>
          <w:color w:val="auto"/>
          <w:sz w:val="24"/>
          <w:highlight w:val="none"/>
          <w:lang w:eastAsia="zh-CN"/>
        </w:rPr>
        <w:t>的</w:t>
      </w:r>
      <w:r>
        <w:rPr>
          <w:rFonts w:hint="eastAsia" w:ascii="仿宋_GB2312" w:eastAsia="仿宋_GB2312"/>
          <w:color w:val="auto"/>
          <w:sz w:val="24"/>
          <w:highlight w:val="none"/>
        </w:rPr>
        <w:t>其他必要通知，应以书面形式传递，收到方应签收。如无法向对方直接送达或收到方不予签收，可邮寄送达，邮件寄至本合同记载之地址时，即视为送达。</w:t>
      </w:r>
    </w:p>
    <w:p w14:paraId="68B2C2DE">
      <w:pPr>
        <w:spacing w:line="460" w:lineRule="exact"/>
        <w:ind w:firstLine="480" w:firstLineChars="200"/>
        <w:rPr>
          <w:rFonts w:ascii="仿宋_GB2312" w:eastAsia="仿宋_GB2312"/>
          <w:color w:val="auto"/>
          <w:sz w:val="24"/>
          <w:highlight w:val="none"/>
        </w:rPr>
      </w:pPr>
      <w:r>
        <w:rPr>
          <w:rFonts w:ascii="仿宋_GB2312" w:eastAsia="仿宋_GB2312"/>
          <w:color w:val="auto"/>
          <w:sz w:val="24"/>
          <w:highlight w:val="none"/>
        </w:rPr>
        <w:t xml:space="preserve">2. </w:t>
      </w:r>
      <w:r>
        <w:rPr>
          <w:rFonts w:hint="eastAsia" w:ascii="仿宋_GB2312" w:eastAsia="仿宋_GB2312"/>
          <w:color w:val="auto"/>
          <w:sz w:val="24"/>
          <w:highlight w:val="none"/>
        </w:rPr>
        <w:t>本合同下述的地址、电话、传真为双方通知送达的地址、电话、传真，如果任何一方变更，应在变更后3日内书面通知</w:t>
      </w:r>
      <w:r>
        <w:rPr>
          <w:rFonts w:ascii="仿宋_GB2312" w:eastAsia="仿宋_GB2312"/>
          <w:color w:val="auto"/>
          <w:sz w:val="24"/>
          <w:highlight w:val="none"/>
        </w:rPr>
        <w:t>相</w:t>
      </w:r>
      <w:r>
        <w:rPr>
          <w:rFonts w:hint="eastAsia" w:ascii="仿宋_GB2312" w:eastAsia="仿宋_GB2312"/>
          <w:color w:val="auto"/>
          <w:sz w:val="24"/>
          <w:highlight w:val="none"/>
        </w:rPr>
        <w:t>对方，否则任何一方通知送达前述地址，即视为被送达方收到，由此引发的法律后果由被送达人承担。</w:t>
      </w:r>
    </w:p>
    <w:p w14:paraId="5C06A04C">
      <w:pPr>
        <w:spacing w:line="46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 xml:space="preserve">甲方地址：                                                                             </w:t>
      </w:r>
    </w:p>
    <w:p w14:paraId="6532401B">
      <w:pPr>
        <w:spacing w:line="46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指定联系人：             电话</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rPr>
        <w:t xml:space="preserve">               传真</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rPr>
        <w:t xml:space="preserve">              </w:t>
      </w:r>
    </w:p>
    <w:p w14:paraId="3A5BFD85">
      <w:pPr>
        <w:spacing w:line="46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 xml:space="preserve">电子邮箱：                        </w:t>
      </w:r>
    </w:p>
    <w:p w14:paraId="2656E899">
      <w:pPr>
        <w:spacing w:line="46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乙方地址</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rPr>
        <w:t xml:space="preserve">                                                                                      </w:t>
      </w:r>
    </w:p>
    <w:p w14:paraId="421E959A">
      <w:pPr>
        <w:spacing w:line="46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指定联系人</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rPr>
        <w:t xml:space="preserve">              电话</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rPr>
        <w:t xml:space="preserve">                传真</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rPr>
        <w:t xml:space="preserve">             </w:t>
      </w:r>
    </w:p>
    <w:p w14:paraId="6ECCB922">
      <w:pPr>
        <w:spacing w:line="46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电子邮箱：</w:t>
      </w:r>
    </w:p>
    <w:p w14:paraId="44E40F40">
      <w:pPr>
        <w:numPr>
          <w:ilvl w:val="-1"/>
          <w:numId w:val="0"/>
        </w:numPr>
        <w:spacing w:line="460" w:lineRule="exact"/>
        <w:ind w:firstLine="482" w:firstLineChars="200"/>
        <w:rPr>
          <w:rFonts w:hint="eastAsia" w:ascii="仿宋_GB2312" w:eastAsia="仿宋_GB2312"/>
          <w:b/>
          <w:color w:val="auto"/>
          <w:sz w:val="24"/>
          <w:highlight w:val="none"/>
        </w:rPr>
      </w:pPr>
      <w:r>
        <w:rPr>
          <w:rFonts w:hint="eastAsia" w:ascii="仿宋_GB2312" w:eastAsia="仿宋_GB2312"/>
          <w:b/>
          <w:color w:val="auto"/>
          <w:sz w:val="24"/>
          <w:highlight w:val="none"/>
          <w:lang w:val="en-US" w:eastAsia="zh-CN"/>
        </w:rPr>
        <w:t>十七、</w:t>
      </w:r>
      <w:r>
        <w:rPr>
          <w:rFonts w:hint="eastAsia" w:ascii="仿宋_GB2312" w:eastAsia="仿宋_GB2312"/>
          <w:b/>
          <w:color w:val="auto"/>
          <w:sz w:val="24"/>
          <w:highlight w:val="none"/>
        </w:rPr>
        <w:t>其  他</w:t>
      </w:r>
    </w:p>
    <w:p w14:paraId="7E13155B">
      <w:pPr>
        <w:spacing w:line="46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lang w:val="en-US" w:eastAsia="zh-CN"/>
        </w:rPr>
        <w:t>1</w:t>
      </w:r>
      <w:r>
        <w:rPr>
          <w:rFonts w:hint="eastAsia" w:ascii="仿宋_GB2312" w:eastAsia="仿宋_GB2312"/>
          <w:color w:val="auto"/>
          <w:sz w:val="24"/>
          <w:highlight w:val="none"/>
        </w:rPr>
        <w:t>. 本合同一式肆份，甲、乙双方各执两份，每份具有同等法律效力。</w:t>
      </w:r>
    </w:p>
    <w:p w14:paraId="3F15951E">
      <w:pPr>
        <w:snapToGrid w:val="0"/>
        <w:spacing w:line="460" w:lineRule="exact"/>
        <w:ind w:firstLine="480" w:firstLineChars="200"/>
        <w:rPr>
          <w:rFonts w:ascii="仿宋_GB2312" w:hAnsi="宋体" w:eastAsia="仿宋_GB2312"/>
          <w:color w:val="auto"/>
          <w:sz w:val="24"/>
          <w:highlight w:val="none"/>
          <w:lang w:val="en-GB"/>
        </w:rPr>
      </w:pPr>
      <w:r>
        <w:rPr>
          <w:rFonts w:hint="eastAsia" w:ascii="仿宋_GB2312" w:hAnsi="宋体" w:eastAsia="仿宋_GB2312"/>
          <w:color w:val="auto"/>
          <w:sz w:val="24"/>
          <w:highlight w:val="none"/>
          <w:lang w:val="en-US" w:eastAsia="zh-CN"/>
        </w:rPr>
        <w:t>2</w:t>
      </w:r>
      <w:r>
        <w:rPr>
          <w:rFonts w:hint="eastAsia" w:ascii="仿宋_GB2312" w:hAnsi="宋体" w:eastAsia="仿宋_GB2312"/>
          <w:color w:val="auto"/>
          <w:sz w:val="24"/>
          <w:highlight w:val="none"/>
          <w:lang w:val="en-GB"/>
        </w:rPr>
        <w:t>. 本合同所涉安全生产暨社会治安综合治理、廉政要求参见附件《高速公路服务区业务安全生产暨社会治安综合治理合同》和《廉洁诚信协议书》。</w:t>
      </w:r>
    </w:p>
    <w:p w14:paraId="00A6A2C6">
      <w:pPr>
        <w:snapToGrid w:val="0"/>
        <w:spacing w:line="460" w:lineRule="exact"/>
        <w:ind w:firstLine="480" w:firstLineChars="200"/>
        <w:rPr>
          <w:rFonts w:ascii="仿宋_GB2312" w:hAnsi="宋体" w:eastAsia="仿宋_GB2312"/>
          <w:color w:val="auto"/>
          <w:sz w:val="24"/>
          <w:highlight w:val="none"/>
          <w:lang w:val="en-GB"/>
        </w:rPr>
      </w:pPr>
      <w:r>
        <w:rPr>
          <w:rFonts w:hint="eastAsia" w:ascii="仿宋_GB2312" w:hAnsi="宋体" w:eastAsia="仿宋_GB2312"/>
          <w:color w:val="auto"/>
          <w:sz w:val="24"/>
          <w:highlight w:val="none"/>
          <w:lang w:val="en-US" w:eastAsia="zh-CN"/>
        </w:rPr>
        <w:t>3</w:t>
      </w:r>
      <w:r>
        <w:rPr>
          <w:rFonts w:hint="eastAsia" w:ascii="仿宋_GB2312" w:hAnsi="宋体" w:eastAsia="仿宋_GB2312"/>
          <w:color w:val="auto"/>
          <w:sz w:val="24"/>
          <w:highlight w:val="none"/>
          <w:lang w:val="en-GB"/>
        </w:rPr>
        <w:t>. 本合同未尽事宜，双方协商后另行签订补充合同。补充合同与本合同具有同等法律效力。</w:t>
      </w:r>
    </w:p>
    <w:p w14:paraId="5E12623C">
      <w:pPr>
        <w:snapToGrid w:val="0"/>
        <w:spacing w:line="460" w:lineRule="exact"/>
        <w:ind w:firstLine="360" w:firstLineChars="150"/>
        <w:rPr>
          <w:rFonts w:ascii="仿宋_GB2312" w:hAnsi="宋体" w:eastAsia="仿宋_GB2312"/>
          <w:color w:val="auto"/>
          <w:sz w:val="24"/>
          <w:highlight w:val="none"/>
          <w:lang w:val="en-GB"/>
        </w:rPr>
      </w:pPr>
      <w:r>
        <w:rPr>
          <w:rFonts w:hint="eastAsia" w:ascii="仿宋_GB2312" w:hAnsi="宋体" w:eastAsia="仿宋_GB2312"/>
          <w:color w:val="auto"/>
          <w:sz w:val="24"/>
          <w:highlight w:val="none"/>
          <w:lang w:val="en-GB"/>
        </w:rPr>
        <w:t>（以下无正文）</w:t>
      </w:r>
    </w:p>
    <w:p w14:paraId="7BFE7BF6">
      <w:pPr>
        <w:adjustRightInd w:val="0"/>
        <w:snapToGrid w:val="0"/>
        <w:spacing w:line="360" w:lineRule="auto"/>
        <w:rPr>
          <w:rFonts w:ascii="宋体" w:hAnsi="宋体"/>
          <w:color w:val="auto"/>
          <w:sz w:val="24"/>
          <w:highlight w:val="none"/>
          <w:lang w:val="en-GB"/>
        </w:rPr>
      </w:pPr>
    </w:p>
    <w:p w14:paraId="23BDEF13">
      <w:pPr>
        <w:adjustRightInd w:val="0"/>
        <w:snapToGrid w:val="0"/>
        <w:spacing w:line="360" w:lineRule="auto"/>
        <w:rPr>
          <w:rFonts w:ascii="宋体" w:hAnsi="宋体"/>
          <w:color w:val="auto"/>
          <w:sz w:val="24"/>
          <w:highlight w:val="none"/>
          <w:lang w:val="en-GB"/>
        </w:rPr>
      </w:pPr>
    </w:p>
    <w:p w14:paraId="5F54BD5E">
      <w:pPr>
        <w:snapToGrid w:val="0"/>
        <w:spacing w:line="460" w:lineRule="exact"/>
        <w:rPr>
          <w:rFonts w:ascii="仿宋_GB2312" w:hAnsi="宋体" w:eastAsia="仿宋_GB2312"/>
          <w:color w:val="auto"/>
          <w:sz w:val="24"/>
          <w:highlight w:val="none"/>
          <w:lang w:val="en-GB"/>
        </w:rPr>
      </w:pPr>
      <w:r>
        <w:rPr>
          <w:rFonts w:hint="eastAsia" w:ascii="仿宋_GB2312" w:hAnsi="宋体" w:eastAsia="仿宋_GB2312"/>
          <w:color w:val="auto"/>
          <w:sz w:val="24"/>
          <w:highlight w:val="none"/>
          <w:lang w:val="en-GB"/>
        </w:rPr>
        <w:t>甲方：服务区</w:t>
      </w:r>
    </w:p>
    <w:p w14:paraId="0174B36E">
      <w:pPr>
        <w:snapToGrid w:val="0"/>
        <w:spacing w:line="460" w:lineRule="exact"/>
        <w:rPr>
          <w:rFonts w:ascii="仿宋_GB2312" w:hAnsi="宋体" w:eastAsia="仿宋_GB2312"/>
          <w:color w:val="auto"/>
          <w:sz w:val="24"/>
          <w:highlight w:val="none"/>
          <w:lang w:val="en-GB"/>
        </w:rPr>
      </w:pPr>
      <w:r>
        <w:rPr>
          <w:rFonts w:hint="eastAsia" w:ascii="仿宋_GB2312" w:hAnsi="宋体" w:eastAsia="仿宋_GB2312"/>
          <w:color w:val="auto"/>
          <w:sz w:val="24"/>
          <w:highlight w:val="none"/>
          <w:lang w:val="en-GB"/>
        </w:rPr>
        <w:t>负责人（或授权代表）：</w:t>
      </w:r>
    </w:p>
    <w:p w14:paraId="69BB677A">
      <w:pPr>
        <w:snapToGrid w:val="0"/>
        <w:spacing w:line="460" w:lineRule="exact"/>
        <w:rPr>
          <w:rFonts w:ascii="仿宋_GB2312" w:hAnsi="宋体" w:eastAsia="仿宋_GB2312"/>
          <w:color w:val="auto"/>
          <w:sz w:val="24"/>
          <w:highlight w:val="none"/>
          <w:lang w:val="en-GB"/>
        </w:rPr>
      </w:pPr>
      <w:r>
        <w:rPr>
          <w:rFonts w:hint="eastAsia" w:ascii="仿宋_GB2312" w:hAnsi="宋体" w:eastAsia="仿宋_GB2312"/>
          <w:color w:val="auto"/>
          <w:sz w:val="24"/>
          <w:highlight w:val="none"/>
          <w:lang w:val="en-GB"/>
        </w:rPr>
        <w:t xml:space="preserve">签章：      </w:t>
      </w:r>
    </w:p>
    <w:p w14:paraId="501AE6DE">
      <w:pPr>
        <w:snapToGrid w:val="0"/>
        <w:spacing w:line="460" w:lineRule="exact"/>
        <w:rPr>
          <w:rFonts w:ascii="仿宋_GB2312" w:hAnsi="宋体" w:eastAsia="仿宋_GB2312"/>
          <w:color w:val="auto"/>
          <w:sz w:val="24"/>
          <w:highlight w:val="none"/>
          <w:lang w:val="en-GB"/>
        </w:rPr>
      </w:pPr>
      <w:r>
        <w:rPr>
          <w:rFonts w:hint="eastAsia" w:ascii="仿宋_GB2312" w:hAnsi="宋体" w:eastAsia="仿宋_GB2312"/>
          <w:color w:val="auto"/>
          <w:sz w:val="24"/>
          <w:highlight w:val="none"/>
          <w:lang w:val="en-GB"/>
        </w:rPr>
        <w:t>签订时间：</w:t>
      </w:r>
    </w:p>
    <w:p w14:paraId="0FC19796">
      <w:pPr>
        <w:adjustRightInd w:val="0"/>
        <w:snapToGrid w:val="0"/>
        <w:spacing w:line="360" w:lineRule="auto"/>
        <w:rPr>
          <w:rFonts w:ascii="仿宋_GB2312" w:hAnsi="宋体" w:eastAsia="仿宋_GB2312"/>
          <w:color w:val="auto"/>
          <w:sz w:val="24"/>
          <w:highlight w:val="none"/>
          <w:lang w:val="en-GB"/>
        </w:rPr>
      </w:pPr>
    </w:p>
    <w:p w14:paraId="2926BD5D">
      <w:pPr>
        <w:snapToGrid w:val="0"/>
        <w:spacing w:line="460" w:lineRule="exact"/>
        <w:rPr>
          <w:rFonts w:ascii="仿宋_GB2312" w:hAnsi="宋体" w:eastAsia="仿宋_GB2312"/>
          <w:color w:val="auto"/>
          <w:sz w:val="24"/>
          <w:highlight w:val="none"/>
          <w:lang w:val="en-GB"/>
        </w:rPr>
      </w:pPr>
      <w:r>
        <w:rPr>
          <w:rFonts w:hint="eastAsia" w:ascii="仿宋_GB2312" w:hAnsi="宋体" w:eastAsia="仿宋_GB2312"/>
          <w:color w:val="auto"/>
          <w:sz w:val="24"/>
          <w:highlight w:val="none"/>
          <w:lang w:val="en-GB"/>
        </w:rPr>
        <w:t>乙方：</w:t>
      </w:r>
    </w:p>
    <w:p w14:paraId="416094AA">
      <w:pPr>
        <w:snapToGrid w:val="0"/>
        <w:spacing w:line="460" w:lineRule="exact"/>
        <w:rPr>
          <w:rFonts w:ascii="仿宋_GB2312" w:hAnsi="宋体" w:eastAsia="仿宋_GB2312"/>
          <w:color w:val="auto"/>
          <w:sz w:val="24"/>
          <w:highlight w:val="none"/>
          <w:lang w:val="en-GB"/>
        </w:rPr>
      </w:pPr>
      <w:r>
        <w:rPr>
          <w:rFonts w:hint="eastAsia" w:ascii="仿宋_GB2312" w:hAnsi="宋体" w:eastAsia="仿宋_GB2312"/>
          <w:color w:val="auto"/>
          <w:sz w:val="24"/>
          <w:highlight w:val="none"/>
          <w:lang w:val="en-GB"/>
        </w:rPr>
        <w:t>法定代表人（或授权代表）：</w:t>
      </w:r>
    </w:p>
    <w:p w14:paraId="0757EC5E">
      <w:pPr>
        <w:snapToGrid w:val="0"/>
        <w:spacing w:line="460" w:lineRule="exact"/>
        <w:rPr>
          <w:rFonts w:ascii="仿宋_GB2312" w:hAnsi="宋体" w:eastAsia="仿宋_GB2312"/>
          <w:color w:val="auto"/>
          <w:sz w:val="24"/>
          <w:highlight w:val="none"/>
          <w:lang w:val="en-GB"/>
        </w:rPr>
      </w:pPr>
      <w:r>
        <w:rPr>
          <w:rFonts w:hint="eastAsia" w:ascii="仿宋_GB2312" w:hAnsi="宋体" w:eastAsia="仿宋_GB2312"/>
          <w:color w:val="auto"/>
          <w:sz w:val="24"/>
          <w:highlight w:val="none"/>
          <w:lang w:val="en-GB"/>
        </w:rPr>
        <w:t>签章：</w:t>
      </w:r>
    </w:p>
    <w:p w14:paraId="7C0C4A43">
      <w:pPr>
        <w:snapToGrid w:val="0"/>
        <w:spacing w:line="460" w:lineRule="exact"/>
        <w:rPr>
          <w:rFonts w:ascii="仿宋_GB2312" w:hAnsi="宋体" w:eastAsia="仿宋_GB2312"/>
          <w:color w:val="auto"/>
          <w:sz w:val="24"/>
          <w:highlight w:val="none"/>
          <w:lang w:val="en-GB"/>
        </w:rPr>
      </w:pPr>
      <w:r>
        <w:rPr>
          <w:rFonts w:hint="eastAsia" w:ascii="仿宋_GB2312" w:hAnsi="宋体" w:eastAsia="仿宋_GB2312"/>
          <w:color w:val="auto"/>
          <w:sz w:val="24"/>
          <w:highlight w:val="none"/>
          <w:lang w:val="en-GB"/>
        </w:rPr>
        <w:t>签订时间：</w:t>
      </w:r>
    </w:p>
    <w:p w14:paraId="7AE4C151">
      <w:pPr>
        <w:snapToGrid w:val="0"/>
        <w:spacing w:line="460" w:lineRule="exact"/>
        <w:rPr>
          <w:rFonts w:ascii="仿宋_GB2312" w:hAnsi="宋体" w:eastAsia="仿宋_GB2312"/>
          <w:color w:val="auto"/>
          <w:sz w:val="24"/>
          <w:highlight w:val="none"/>
          <w:lang w:val="en-GB"/>
        </w:rPr>
      </w:pPr>
    </w:p>
    <w:p w14:paraId="62311DDF">
      <w:pPr>
        <w:snapToGrid w:val="0"/>
        <w:spacing w:line="460" w:lineRule="exact"/>
        <w:rPr>
          <w:rFonts w:ascii="仿宋_GB2312" w:hAnsi="宋体" w:eastAsia="仿宋_GB2312"/>
          <w:color w:val="auto"/>
          <w:sz w:val="24"/>
          <w:highlight w:val="none"/>
          <w:lang w:val="en-GB"/>
        </w:rPr>
      </w:pPr>
    </w:p>
    <w:p w14:paraId="75131871">
      <w:pPr>
        <w:snapToGrid w:val="0"/>
        <w:spacing w:line="460" w:lineRule="exact"/>
        <w:ind w:firstLine="480" w:firstLineChars="200"/>
        <w:rPr>
          <w:rFonts w:ascii="仿宋_GB2312" w:hAnsi="宋体" w:eastAsia="仿宋_GB2312"/>
          <w:color w:val="auto"/>
          <w:sz w:val="24"/>
          <w:highlight w:val="none"/>
          <w:lang w:val="en-GB"/>
        </w:rPr>
      </w:pPr>
      <w:r>
        <w:rPr>
          <w:rFonts w:hint="eastAsia" w:ascii="仿宋_GB2312" w:hAnsi="宋体" w:eastAsia="仿宋_GB2312"/>
          <w:color w:val="auto"/>
          <w:sz w:val="24"/>
          <w:highlight w:val="none"/>
          <w:lang w:val="en-GB"/>
        </w:rPr>
        <w:t>附件</w:t>
      </w:r>
      <w:r>
        <w:rPr>
          <w:rFonts w:ascii="仿宋_GB2312" w:hAnsi="宋体" w:eastAsia="仿宋_GB2312"/>
          <w:color w:val="auto"/>
          <w:sz w:val="24"/>
          <w:highlight w:val="none"/>
          <w:lang w:val="en-GB"/>
        </w:rPr>
        <w:t>：</w:t>
      </w:r>
    </w:p>
    <w:p w14:paraId="12453EE5">
      <w:pPr>
        <w:snapToGrid w:val="0"/>
        <w:spacing w:line="460" w:lineRule="exact"/>
        <w:ind w:firstLine="480" w:firstLineChars="200"/>
        <w:rPr>
          <w:rFonts w:ascii="仿宋_GB2312" w:eastAsia="仿宋_GB2312"/>
          <w:color w:val="auto"/>
          <w:sz w:val="24"/>
          <w:highlight w:val="none"/>
        </w:rPr>
      </w:pPr>
      <w:r>
        <w:rPr>
          <w:rFonts w:hint="eastAsia" w:ascii="仿宋_GB2312" w:hAnsi="宋体" w:eastAsia="仿宋_GB2312"/>
          <w:color w:val="auto"/>
          <w:sz w:val="24"/>
          <w:highlight w:val="none"/>
          <w:lang w:val="en-GB"/>
        </w:rPr>
        <w:t xml:space="preserve">1. </w:t>
      </w:r>
      <w:r>
        <w:rPr>
          <w:rFonts w:hint="eastAsia" w:ascii="仿宋_GB2312" w:eastAsia="仿宋_GB2312"/>
          <w:color w:val="auto"/>
          <w:sz w:val="24"/>
          <w:highlight w:val="none"/>
        </w:rPr>
        <w:t>经营场地图纸</w:t>
      </w:r>
      <w:r>
        <w:rPr>
          <w:rFonts w:ascii="仿宋_GB2312" w:eastAsia="仿宋_GB2312"/>
          <w:color w:val="auto"/>
          <w:sz w:val="24"/>
          <w:highlight w:val="none"/>
        </w:rPr>
        <w:t>；</w:t>
      </w:r>
    </w:p>
    <w:p w14:paraId="4894B6F1">
      <w:pPr>
        <w:snapToGrid w:val="0"/>
        <w:spacing w:line="46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2.</w:t>
      </w:r>
      <w:r>
        <w:rPr>
          <w:rFonts w:hint="eastAsia" w:ascii="仿宋_GB2312" w:hAnsi="宋体" w:eastAsia="仿宋_GB2312"/>
          <w:color w:val="auto"/>
          <w:sz w:val="24"/>
          <w:highlight w:val="none"/>
          <w:lang w:val="en-GB"/>
        </w:rPr>
        <w:t>《高速公路服</w:t>
      </w:r>
      <w:bookmarkStart w:id="0" w:name="_GoBack"/>
      <w:bookmarkEnd w:id="0"/>
      <w:r>
        <w:rPr>
          <w:rFonts w:hint="eastAsia" w:ascii="仿宋_GB2312" w:hAnsi="宋体" w:eastAsia="仿宋_GB2312"/>
          <w:color w:val="auto"/>
          <w:sz w:val="24"/>
          <w:highlight w:val="none"/>
          <w:lang w:val="en-GB"/>
        </w:rPr>
        <w:t>务区业务安全生产暨社会治安综合治理合同》</w:t>
      </w:r>
      <w:r>
        <w:rPr>
          <w:rFonts w:ascii="仿宋_GB2312" w:hAnsi="宋体" w:eastAsia="仿宋_GB2312"/>
          <w:color w:val="auto"/>
          <w:sz w:val="24"/>
          <w:highlight w:val="none"/>
          <w:lang w:val="en-GB"/>
        </w:rPr>
        <w:t>；</w:t>
      </w:r>
    </w:p>
    <w:p w14:paraId="60B865B1">
      <w:pPr>
        <w:snapToGrid w:val="0"/>
        <w:spacing w:line="460" w:lineRule="exact"/>
        <w:ind w:firstLine="480" w:firstLineChars="200"/>
        <w:rPr>
          <w:rFonts w:hint="eastAsia" w:ascii="仿宋_GB2312" w:hAnsi="宋体" w:eastAsia="仿宋_GB2312"/>
          <w:color w:val="auto"/>
          <w:sz w:val="24"/>
          <w:highlight w:val="none"/>
          <w:lang w:val="en-GB"/>
        </w:rPr>
      </w:pPr>
      <w:r>
        <w:rPr>
          <w:rFonts w:hint="eastAsia" w:ascii="仿宋_GB2312" w:hAnsi="宋体" w:eastAsia="仿宋_GB2312"/>
          <w:color w:val="auto"/>
          <w:sz w:val="24"/>
          <w:highlight w:val="none"/>
          <w:lang w:val="en-GB"/>
        </w:rPr>
        <w:t>3.《廉洁诚信协议书》</w:t>
      </w:r>
      <w:r>
        <w:rPr>
          <w:rFonts w:hint="eastAsia" w:ascii="仿宋_GB2312" w:hAnsi="宋体" w:eastAsia="仿宋_GB2312"/>
          <w:color w:val="auto"/>
          <w:sz w:val="24"/>
          <w:highlight w:val="none"/>
          <w:lang w:val="en-GB" w:eastAsia="zh-CN"/>
        </w:rPr>
        <w:t>；</w:t>
      </w:r>
    </w:p>
    <w:p w14:paraId="0562D46F">
      <w:pPr>
        <w:snapToGrid w:val="0"/>
        <w:spacing w:line="460" w:lineRule="exact"/>
        <w:ind w:firstLine="480" w:firstLineChars="200"/>
        <w:rPr>
          <w:rFonts w:hint="eastAsia" w:ascii="仿宋_GB2312" w:hAnsi="宋体" w:eastAsia="仿宋_GB2312"/>
          <w:color w:val="auto"/>
          <w:sz w:val="24"/>
          <w:highlight w:val="none"/>
          <w:lang w:val="en-US" w:eastAsia="zh-CN"/>
        </w:rPr>
      </w:pPr>
      <w:r>
        <w:rPr>
          <w:rFonts w:hint="eastAsia" w:ascii="仿宋_GB2312" w:hAnsi="宋体" w:eastAsia="仿宋_GB2312"/>
          <w:color w:val="auto"/>
          <w:sz w:val="24"/>
          <w:highlight w:val="none"/>
          <w:lang w:val="en-US" w:eastAsia="zh-CN"/>
        </w:rPr>
        <w:t>4.承诺函；</w:t>
      </w:r>
    </w:p>
    <w:p w14:paraId="715729EB">
      <w:pPr>
        <w:snapToGrid w:val="0"/>
        <w:spacing w:line="460" w:lineRule="exact"/>
        <w:ind w:firstLine="480" w:firstLineChars="200"/>
        <w:rPr>
          <w:rFonts w:hint="eastAsia" w:ascii="仿宋_GB2312" w:hAnsi="宋体" w:eastAsia="仿宋_GB2312"/>
          <w:color w:val="auto"/>
          <w:sz w:val="24"/>
          <w:highlight w:val="none"/>
          <w:lang w:val="en-US" w:eastAsia="zh-CN"/>
        </w:rPr>
      </w:pPr>
      <w:r>
        <w:rPr>
          <w:rFonts w:hint="eastAsia" w:ascii="仿宋_GB2312" w:hAnsi="宋体" w:eastAsia="仿宋_GB2312"/>
          <w:color w:val="auto"/>
          <w:sz w:val="24"/>
          <w:highlight w:val="none"/>
          <w:lang w:val="en-US" w:eastAsia="zh-CN"/>
        </w:rPr>
        <w:t>5.营业执照及法定代表人证明文件；</w:t>
      </w:r>
    </w:p>
    <w:p w14:paraId="670DE6CA">
      <w:pPr>
        <w:snapToGrid w:val="0"/>
        <w:spacing w:line="460" w:lineRule="exact"/>
        <w:ind w:firstLine="480" w:firstLineChars="200"/>
        <w:rPr>
          <w:rFonts w:hint="eastAsia" w:ascii="仿宋_GB2312" w:hAnsi="宋体" w:eastAsia="仿宋_GB2312"/>
          <w:b w:val="0"/>
          <w:bCs w:val="0"/>
          <w:color w:val="auto"/>
          <w:sz w:val="24"/>
          <w:highlight w:val="none"/>
          <w:lang w:val="en-US" w:eastAsia="zh-CN"/>
        </w:rPr>
      </w:pPr>
      <w:r>
        <w:rPr>
          <w:rFonts w:hint="eastAsia" w:ascii="仿宋_GB2312" w:hAnsi="宋体" w:eastAsia="仿宋_GB2312"/>
          <w:b w:val="0"/>
          <w:bCs w:val="0"/>
          <w:color w:val="auto"/>
          <w:sz w:val="24"/>
          <w:highlight w:val="none"/>
          <w:lang w:val="en-US" w:eastAsia="zh-CN"/>
        </w:rPr>
        <w:t>6.车辆维修协议；</w:t>
      </w:r>
    </w:p>
    <w:p w14:paraId="19B04EE6">
      <w:pPr>
        <w:snapToGrid w:val="0"/>
        <w:spacing w:line="460" w:lineRule="exact"/>
        <w:ind w:firstLine="480" w:firstLineChars="200"/>
        <w:rPr>
          <w:rFonts w:hint="eastAsia" w:eastAsia="仿宋_GB2312"/>
          <w:b w:val="0"/>
          <w:bCs w:val="0"/>
          <w:color w:val="auto"/>
          <w:sz w:val="24"/>
          <w:szCs w:val="21"/>
          <w:highlight w:val="none"/>
          <w:lang w:val="en-US" w:eastAsia="zh-CN"/>
        </w:rPr>
        <w:sectPr>
          <w:headerReference r:id="rId3" w:type="default"/>
          <w:footerReference r:id="rId4" w:type="default"/>
          <w:pgSz w:w="11906" w:h="16838"/>
          <w:pgMar w:top="1440" w:right="1800" w:bottom="1440" w:left="1800" w:header="851" w:footer="992" w:gutter="0"/>
          <w:cols w:space="425" w:num="1"/>
          <w:docGrid w:type="lines" w:linePitch="312" w:charSpace="0"/>
        </w:sectPr>
      </w:pPr>
      <w:r>
        <w:rPr>
          <w:rFonts w:hint="eastAsia" w:ascii="仿宋_GB2312" w:hAnsi="宋体" w:eastAsia="仿宋_GB2312"/>
          <w:b w:val="0"/>
          <w:bCs w:val="0"/>
          <w:color w:val="auto"/>
          <w:sz w:val="24"/>
          <w:highlight w:val="none"/>
          <w:lang w:val="en-US" w:eastAsia="zh-CN"/>
        </w:rPr>
        <w:t>7.</w:t>
      </w:r>
      <w:r>
        <w:rPr>
          <w:rFonts w:hint="eastAsia" w:eastAsia="仿宋_GB2312"/>
          <w:b w:val="0"/>
          <w:bCs w:val="0"/>
          <w:color w:val="auto"/>
          <w:sz w:val="24"/>
          <w:szCs w:val="21"/>
          <w:highlight w:val="none"/>
          <w:lang w:val="en-US" w:eastAsia="zh-CN"/>
        </w:rPr>
        <w:t>限价和免费项目表。</w:t>
      </w:r>
    </w:p>
    <w:p w14:paraId="5FD9D3D2">
      <w:pPr>
        <w:snapToGrid w:val="0"/>
        <w:spacing w:line="460" w:lineRule="exact"/>
        <w:rPr>
          <w:rFonts w:hint="eastAsia" w:ascii="仿宋_GB2312" w:hAnsi="宋体" w:eastAsia="仿宋_GB2312"/>
          <w:b/>
          <w:bCs/>
          <w:color w:val="auto"/>
          <w:sz w:val="24"/>
          <w:highlight w:val="none"/>
          <w:lang w:val="en-US" w:eastAsia="zh-CN"/>
        </w:rPr>
      </w:pPr>
      <w:r>
        <w:rPr>
          <w:rFonts w:hint="eastAsia" w:ascii="仿宋_GB2312" w:hAnsi="宋体" w:eastAsia="仿宋_GB2312"/>
          <w:b/>
          <w:bCs/>
          <w:color w:val="auto"/>
          <w:sz w:val="24"/>
          <w:highlight w:val="none"/>
          <w:lang w:val="en-US" w:eastAsia="zh-CN"/>
        </w:rPr>
        <w:t>附件6</w:t>
      </w:r>
    </w:p>
    <w:p w14:paraId="08C1FA50">
      <w:pPr>
        <w:snapToGrid w:val="0"/>
        <w:spacing w:line="460" w:lineRule="exact"/>
        <w:rPr>
          <w:rFonts w:hint="eastAsia" w:ascii="仿宋_GB2312" w:hAnsi="宋体" w:eastAsia="仿宋_GB2312"/>
          <w:b/>
          <w:bCs/>
          <w:color w:val="auto"/>
          <w:sz w:val="24"/>
          <w:highlight w:val="none"/>
          <w:lang w:val="en-US" w:eastAsia="zh-CN"/>
        </w:rPr>
      </w:pPr>
    </w:p>
    <w:p w14:paraId="2EE75943">
      <w:pPr>
        <w:snapToGrid w:val="0"/>
        <w:spacing w:line="360" w:lineRule="auto"/>
        <w:jc w:val="center"/>
        <w:rPr>
          <w:rFonts w:hint="eastAsia" w:ascii="方正小标宋简体" w:hAnsi="方正小标宋简体" w:eastAsia="方正小标宋简体" w:cs="方正小标宋简体"/>
          <w:b/>
          <w:bCs/>
          <w:color w:val="auto"/>
          <w:sz w:val="44"/>
          <w:szCs w:val="44"/>
          <w:highlight w:val="none"/>
          <w:lang w:val="en-US" w:eastAsia="zh-CN"/>
        </w:rPr>
      </w:pPr>
      <w:r>
        <w:rPr>
          <w:rFonts w:hint="eastAsia" w:ascii="方正小标宋简体" w:hAnsi="方正小标宋简体" w:eastAsia="方正小标宋简体" w:cs="方正小标宋简体"/>
          <w:b/>
          <w:bCs/>
          <w:color w:val="auto"/>
          <w:sz w:val="44"/>
          <w:szCs w:val="44"/>
          <w:highlight w:val="none"/>
          <w:lang w:val="en-US" w:eastAsia="zh-CN"/>
        </w:rPr>
        <w:t>车辆维修协议</w:t>
      </w:r>
    </w:p>
    <w:p w14:paraId="6EB038BC">
      <w:pPr>
        <w:snapToGrid w:val="0"/>
        <w:spacing w:line="500" w:lineRule="exact"/>
        <w:ind w:firstLine="0" w:firstLineChars="0"/>
        <w:rPr>
          <w:rFonts w:hint="default" w:ascii="Times New Roman Regular" w:hAnsi="Times New Roman Regular" w:eastAsia="仿宋_GB2312" w:cs="Times New Roman Regular"/>
          <w:b/>
          <w:bCs w:val="0"/>
          <w:color w:val="auto"/>
          <w:sz w:val="32"/>
          <w:szCs w:val="32"/>
          <w:highlight w:val="none"/>
          <w:u w:val="single"/>
          <w:lang w:val="en-US" w:eastAsia="zh-CN"/>
        </w:rPr>
      </w:pPr>
      <w:r>
        <w:rPr>
          <w:rFonts w:hint="eastAsia" w:ascii="Times New Roman Regular" w:hAnsi="Times New Roman Regular" w:eastAsia="仿宋_GB2312" w:cs="Times New Roman Regular"/>
          <w:b/>
          <w:bCs w:val="0"/>
          <w:color w:val="auto"/>
          <w:sz w:val="32"/>
          <w:szCs w:val="32"/>
          <w:highlight w:val="none"/>
          <w:lang w:val="en-US" w:eastAsia="zh-CN"/>
        </w:rPr>
        <w:t>维修协议编号：</w:t>
      </w:r>
      <w:r>
        <w:rPr>
          <w:rFonts w:hint="eastAsia" w:ascii="Times New Roman Regular" w:hAnsi="Times New Roman Regular" w:eastAsia="仿宋_GB2312" w:cs="Times New Roman Regular"/>
          <w:b/>
          <w:bCs w:val="0"/>
          <w:color w:val="auto"/>
          <w:sz w:val="32"/>
          <w:szCs w:val="32"/>
          <w:highlight w:val="none"/>
          <w:u w:val="single"/>
          <w:lang w:val="en-US" w:eastAsia="zh-CN"/>
        </w:rPr>
        <w:t xml:space="preserve">              </w:t>
      </w:r>
      <w:r>
        <w:rPr>
          <w:rFonts w:hint="eastAsia" w:ascii="Times New Roman Regular" w:hAnsi="Times New Roman Regular" w:eastAsia="仿宋_GB2312" w:cs="Times New Roman Regular"/>
          <w:b/>
          <w:bCs w:val="0"/>
          <w:color w:val="auto"/>
          <w:sz w:val="32"/>
          <w:szCs w:val="32"/>
          <w:highlight w:val="none"/>
          <w:lang w:val="en-US" w:eastAsia="zh-CN"/>
        </w:rPr>
        <w:t xml:space="preserve">     订单编号：</w:t>
      </w:r>
      <w:r>
        <w:rPr>
          <w:rFonts w:hint="eastAsia" w:ascii="Times New Roman Regular" w:hAnsi="Times New Roman Regular" w:eastAsia="仿宋_GB2312" w:cs="Times New Roman Regular"/>
          <w:b/>
          <w:bCs w:val="0"/>
          <w:color w:val="auto"/>
          <w:sz w:val="32"/>
          <w:szCs w:val="32"/>
          <w:highlight w:val="none"/>
          <w:u w:val="single"/>
          <w:lang w:val="en-US" w:eastAsia="zh-CN"/>
        </w:rPr>
        <w:t xml:space="preserve">                 </w:t>
      </w:r>
    </w:p>
    <w:p w14:paraId="7CF2EC17">
      <w:pPr>
        <w:snapToGrid w:val="0"/>
        <w:spacing w:line="500" w:lineRule="exact"/>
        <w:ind w:firstLine="0" w:firstLineChars="0"/>
        <w:rPr>
          <w:rFonts w:hint="default" w:ascii="Times New Roman Regular" w:hAnsi="Times New Roman Regular" w:eastAsia="仿宋_GB2312" w:cs="Times New Roman Regular"/>
          <w:b/>
          <w:bCs w:val="0"/>
          <w:color w:val="auto"/>
          <w:sz w:val="28"/>
          <w:szCs w:val="28"/>
          <w:highlight w:val="none"/>
          <w:lang w:val="en-US" w:eastAsia="zh-CN"/>
        </w:rPr>
      </w:pPr>
    </w:p>
    <w:p w14:paraId="6DF879AA">
      <w:pPr>
        <w:snapToGrid w:val="0"/>
        <w:spacing w:line="560" w:lineRule="exact"/>
        <w:rPr>
          <w:rFonts w:hint="eastAsia" w:ascii="仿宋_GB2312" w:hAnsi="宋体" w:eastAsia="仿宋_GB2312"/>
          <w:b w:val="0"/>
          <w:bCs w:val="0"/>
          <w:color w:val="auto"/>
          <w:sz w:val="28"/>
          <w:szCs w:val="28"/>
          <w:highlight w:val="none"/>
          <w:u w:val="single"/>
          <w:lang w:val="en-US" w:eastAsia="zh-CN"/>
        </w:rPr>
      </w:pPr>
      <w:r>
        <w:rPr>
          <w:rFonts w:hint="eastAsia" w:ascii="仿宋_GB2312" w:hAnsi="宋体" w:eastAsia="仿宋_GB2312"/>
          <w:b w:val="0"/>
          <w:bCs w:val="0"/>
          <w:color w:val="auto"/>
          <w:sz w:val="28"/>
          <w:szCs w:val="28"/>
          <w:highlight w:val="none"/>
          <w:lang w:val="en-US" w:eastAsia="zh-CN"/>
        </w:rPr>
        <w:t xml:space="preserve">日期： </w:t>
      </w:r>
      <w:r>
        <w:rPr>
          <w:rFonts w:hint="eastAsia" w:ascii="仿宋_GB2312" w:hAnsi="宋体" w:eastAsia="仿宋_GB2312"/>
          <w:b w:val="0"/>
          <w:bCs w:val="0"/>
          <w:color w:val="auto"/>
          <w:sz w:val="28"/>
          <w:szCs w:val="28"/>
          <w:highlight w:val="none"/>
          <w:u w:val="single"/>
          <w:lang w:val="en-US" w:eastAsia="zh-CN"/>
        </w:rPr>
        <w:t xml:space="preserve">       </w:t>
      </w:r>
      <w:r>
        <w:rPr>
          <w:rFonts w:hint="eastAsia" w:ascii="仿宋_GB2312" w:hAnsi="宋体" w:eastAsia="仿宋_GB2312"/>
          <w:b w:val="0"/>
          <w:bCs w:val="0"/>
          <w:color w:val="auto"/>
          <w:sz w:val="28"/>
          <w:szCs w:val="28"/>
          <w:highlight w:val="none"/>
          <w:lang w:val="en-US" w:eastAsia="zh-CN"/>
        </w:rPr>
        <w:t>年</w:t>
      </w:r>
      <w:r>
        <w:rPr>
          <w:rFonts w:hint="eastAsia" w:ascii="仿宋_GB2312" w:hAnsi="宋体" w:eastAsia="仿宋_GB2312"/>
          <w:b w:val="0"/>
          <w:bCs w:val="0"/>
          <w:color w:val="auto"/>
          <w:sz w:val="28"/>
          <w:szCs w:val="28"/>
          <w:highlight w:val="none"/>
          <w:u w:val="single"/>
          <w:lang w:val="en-US" w:eastAsia="zh-CN"/>
        </w:rPr>
        <w:t xml:space="preserve">    </w:t>
      </w:r>
      <w:r>
        <w:rPr>
          <w:rFonts w:hint="eastAsia" w:ascii="仿宋_GB2312" w:hAnsi="宋体" w:eastAsia="仿宋_GB2312"/>
          <w:b w:val="0"/>
          <w:bCs w:val="0"/>
          <w:color w:val="auto"/>
          <w:sz w:val="28"/>
          <w:szCs w:val="28"/>
          <w:highlight w:val="none"/>
          <w:lang w:val="en-US" w:eastAsia="zh-CN"/>
        </w:rPr>
        <w:t>月</w:t>
      </w:r>
      <w:r>
        <w:rPr>
          <w:rFonts w:hint="eastAsia" w:ascii="仿宋_GB2312" w:hAnsi="宋体" w:eastAsia="仿宋_GB2312"/>
          <w:b w:val="0"/>
          <w:bCs w:val="0"/>
          <w:color w:val="auto"/>
          <w:sz w:val="28"/>
          <w:szCs w:val="28"/>
          <w:highlight w:val="none"/>
          <w:u w:val="single"/>
          <w:lang w:val="en-US" w:eastAsia="zh-CN"/>
        </w:rPr>
        <w:t xml:space="preserve">    </w:t>
      </w:r>
      <w:r>
        <w:rPr>
          <w:rFonts w:hint="eastAsia" w:ascii="仿宋_GB2312" w:hAnsi="宋体" w:eastAsia="仿宋_GB2312"/>
          <w:b w:val="0"/>
          <w:bCs w:val="0"/>
          <w:color w:val="auto"/>
          <w:sz w:val="28"/>
          <w:szCs w:val="28"/>
          <w:highlight w:val="none"/>
          <w:lang w:val="en-US" w:eastAsia="zh-CN"/>
        </w:rPr>
        <w:t>日         服务区</w:t>
      </w:r>
      <w:r>
        <w:rPr>
          <w:rFonts w:hint="eastAsia" w:ascii="仿宋_GB2312" w:hAnsi="宋体" w:eastAsia="仿宋_GB2312"/>
          <w:b w:val="0"/>
          <w:bCs w:val="0"/>
          <w:color w:val="auto"/>
          <w:sz w:val="28"/>
          <w:szCs w:val="28"/>
          <w:highlight w:val="none"/>
          <w:u w:val="single"/>
          <w:lang w:val="en-US" w:eastAsia="zh-CN"/>
        </w:rPr>
        <w:t xml:space="preserve">   </w:t>
      </w:r>
      <w:r>
        <w:rPr>
          <w:rFonts w:hint="eastAsia" w:ascii="仿宋_GB2312" w:hAnsi="宋体" w:eastAsia="仿宋_GB2312"/>
          <w:b w:val="0"/>
          <w:bCs w:val="0"/>
          <w:color w:val="auto"/>
          <w:sz w:val="28"/>
          <w:szCs w:val="28"/>
          <w:highlight w:val="none"/>
          <w:u w:val="single"/>
          <w:lang w:val="en-US" w:eastAsia="zh-CN"/>
        </w:rPr>
        <w:tab/>
      </w:r>
      <w:r>
        <w:rPr>
          <w:rFonts w:hint="eastAsia" w:ascii="仿宋_GB2312" w:hAnsi="宋体" w:eastAsia="仿宋_GB2312"/>
          <w:b w:val="0"/>
          <w:bCs w:val="0"/>
          <w:color w:val="auto"/>
          <w:sz w:val="28"/>
          <w:szCs w:val="28"/>
          <w:highlight w:val="none"/>
          <w:u w:val="single"/>
          <w:lang w:val="en-US" w:eastAsia="zh-CN"/>
        </w:rPr>
        <w:t xml:space="preserve">   </w:t>
      </w:r>
      <w:r>
        <w:rPr>
          <w:rFonts w:hint="eastAsia" w:ascii="仿宋_GB2312" w:hAnsi="宋体" w:eastAsia="仿宋_GB2312"/>
          <w:b w:val="0"/>
          <w:bCs w:val="0"/>
          <w:color w:val="auto"/>
          <w:sz w:val="28"/>
          <w:szCs w:val="28"/>
          <w:highlight w:val="none"/>
          <w:u w:val="single"/>
          <w:lang w:val="en-US" w:eastAsia="zh-CN"/>
        </w:rPr>
        <w:tab/>
      </w:r>
      <w:r>
        <w:rPr>
          <w:rFonts w:hint="eastAsia" w:ascii="仿宋_GB2312" w:hAnsi="宋体" w:eastAsia="仿宋_GB2312"/>
          <w:b w:val="0"/>
          <w:bCs w:val="0"/>
          <w:color w:val="auto"/>
          <w:sz w:val="28"/>
          <w:szCs w:val="28"/>
          <w:highlight w:val="none"/>
          <w:u w:val="single"/>
          <w:lang w:val="en-US" w:eastAsia="zh-CN"/>
        </w:rPr>
        <w:t xml:space="preserve"> </w:t>
      </w:r>
    </w:p>
    <w:p w14:paraId="70729CF3">
      <w:pPr>
        <w:snapToGrid w:val="0"/>
        <w:spacing w:line="560" w:lineRule="exact"/>
        <w:rPr>
          <w:rFonts w:hint="eastAsia" w:ascii="仿宋_GB2312" w:hAnsi="宋体" w:eastAsia="仿宋_GB2312"/>
          <w:b w:val="0"/>
          <w:bCs w:val="0"/>
          <w:color w:val="auto"/>
          <w:sz w:val="28"/>
          <w:szCs w:val="28"/>
          <w:highlight w:val="none"/>
          <w:u w:val="single"/>
          <w:lang w:val="en-US" w:eastAsia="zh-CN"/>
        </w:rPr>
      </w:pPr>
      <w:r>
        <w:rPr>
          <w:rFonts w:hint="eastAsia" w:ascii="仿宋_GB2312" w:hAnsi="宋体" w:eastAsia="仿宋_GB2312"/>
          <w:b w:val="0"/>
          <w:bCs w:val="0"/>
          <w:color w:val="auto"/>
          <w:sz w:val="28"/>
          <w:szCs w:val="28"/>
          <w:highlight w:val="none"/>
          <w:lang w:val="en-US" w:eastAsia="zh-CN"/>
        </w:rPr>
        <w:t>甲方(车牌）：</w:t>
      </w:r>
      <w:r>
        <w:rPr>
          <w:rFonts w:hint="eastAsia" w:ascii="仿宋_GB2312" w:hAnsi="宋体" w:eastAsia="仿宋_GB2312"/>
          <w:b w:val="0"/>
          <w:bCs w:val="0"/>
          <w:color w:val="auto"/>
          <w:sz w:val="28"/>
          <w:szCs w:val="28"/>
          <w:highlight w:val="none"/>
          <w:u w:val="single"/>
          <w:lang w:val="en-US" w:eastAsia="zh-CN"/>
        </w:rPr>
        <w:t xml:space="preserve">               </w:t>
      </w:r>
      <w:r>
        <w:rPr>
          <w:rFonts w:hint="eastAsia" w:ascii="仿宋_GB2312" w:hAnsi="宋体" w:eastAsia="仿宋_GB2312"/>
          <w:b w:val="0"/>
          <w:bCs w:val="0"/>
          <w:color w:val="auto"/>
          <w:sz w:val="28"/>
          <w:szCs w:val="28"/>
          <w:highlight w:val="none"/>
          <w:lang w:val="en-US" w:eastAsia="zh-CN"/>
        </w:rPr>
        <w:t xml:space="preserve"> 乙方(承修单位）：</w:t>
      </w:r>
      <w:r>
        <w:rPr>
          <w:rFonts w:hint="eastAsia" w:ascii="仿宋_GB2312" w:hAnsi="宋体" w:eastAsia="仿宋_GB2312"/>
          <w:b w:val="0"/>
          <w:bCs w:val="0"/>
          <w:color w:val="auto"/>
          <w:sz w:val="28"/>
          <w:szCs w:val="28"/>
          <w:highlight w:val="none"/>
          <w:u w:val="single"/>
          <w:lang w:val="en-US" w:eastAsia="zh-CN"/>
        </w:rPr>
        <w:t xml:space="preserve">      </w:t>
      </w:r>
      <w:r>
        <w:rPr>
          <w:rFonts w:hint="eastAsia" w:ascii="仿宋_GB2312" w:hAnsi="宋体" w:eastAsia="仿宋_GB2312"/>
          <w:b w:val="0"/>
          <w:bCs w:val="0"/>
          <w:color w:val="auto"/>
          <w:sz w:val="28"/>
          <w:szCs w:val="28"/>
          <w:highlight w:val="none"/>
          <w:u w:val="single"/>
          <w:lang w:val="en-US" w:eastAsia="zh-CN"/>
        </w:rPr>
        <w:tab/>
      </w:r>
      <w:r>
        <w:rPr>
          <w:rFonts w:hint="eastAsia" w:ascii="仿宋_GB2312" w:hAnsi="宋体" w:eastAsia="仿宋_GB2312"/>
          <w:b w:val="0"/>
          <w:bCs w:val="0"/>
          <w:color w:val="auto"/>
          <w:sz w:val="28"/>
          <w:szCs w:val="28"/>
          <w:highlight w:val="none"/>
          <w:u w:val="single"/>
          <w:lang w:val="en-US" w:eastAsia="zh-CN"/>
        </w:rPr>
        <w:t xml:space="preserve"> </w:t>
      </w:r>
    </w:p>
    <w:p w14:paraId="6BAEF9D9">
      <w:pPr>
        <w:snapToGrid w:val="0"/>
        <w:spacing w:line="560" w:lineRule="exact"/>
        <w:rPr>
          <w:rFonts w:hint="eastAsia" w:ascii="仿宋_GB2312" w:hAnsi="宋体" w:eastAsia="仿宋_GB2312"/>
          <w:b w:val="0"/>
          <w:bCs w:val="0"/>
          <w:color w:val="auto"/>
          <w:sz w:val="28"/>
          <w:szCs w:val="28"/>
          <w:highlight w:val="none"/>
          <w:lang w:val="en-US" w:eastAsia="zh-CN"/>
        </w:rPr>
      </w:pPr>
      <w:r>
        <w:rPr>
          <w:rFonts w:hint="eastAsia" w:ascii="仿宋_GB2312" w:hAnsi="宋体" w:eastAsia="仿宋_GB2312"/>
          <w:b w:val="0"/>
          <w:bCs w:val="0"/>
          <w:color w:val="auto"/>
          <w:sz w:val="28"/>
          <w:szCs w:val="28"/>
          <w:highlight w:val="none"/>
          <w:lang w:val="en-US" w:eastAsia="zh-CN"/>
        </w:rPr>
        <w:t>经甲、 乙双方协商一致， 自愿签订本协议：</w:t>
      </w:r>
    </w:p>
    <w:p w14:paraId="4E290D61">
      <w:pPr>
        <w:snapToGrid w:val="0"/>
        <w:spacing w:line="560" w:lineRule="exact"/>
        <w:rPr>
          <w:rFonts w:hint="eastAsia" w:ascii="仿宋_GB2312" w:hAnsi="宋体" w:eastAsia="仿宋_GB2312"/>
          <w:b w:val="0"/>
          <w:bCs w:val="0"/>
          <w:color w:val="auto"/>
          <w:sz w:val="28"/>
          <w:szCs w:val="28"/>
          <w:highlight w:val="none"/>
          <w:u w:val="single"/>
          <w:lang w:val="en-US" w:eastAsia="zh-CN"/>
        </w:rPr>
      </w:pPr>
      <w:r>
        <w:rPr>
          <w:rFonts w:hint="eastAsia" w:ascii="仿宋_GB2312" w:hAnsi="宋体" w:eastAsia="仿宋_GB2312"/>
          <w:b w:val="0"/>
          <w:bCs w:val="0"/>
          <w:color w:val="auto"/>
          <w:sz w:val="28"/>
          <w:szCs w:val="28"/>
          <w:highlight w:val="none"/>
          <w:lang w:val="en-US" w:eastAsia="zh-CN"/>
        </w:rPr>
        <w:t>汽车修理项目：</w:t>
      </w:r>
      <w:r>
        <w:rPr>
          <w:rFonts w:hint="eastAsia" w:ascii="仿宋_GB2312" w:hAnsi="宋体" w:eastAsia="仿宋_GB2312"/>
          <w:b w:val="0"/>
          <w:bCs w:val="0"/>
          <w:color w:val="auto"/>
          <w:sz w:val="28"/>
          <w:szCs w:val="28"/>
          <w:highlight w:val="none"/>
          <w:u w:val="single"/>
          <w:lang w:val="en-US" w:eastAsia="zh-CN"/>
        </w:rPr>
        <w:tab/>
      </w:r>
      <w:r>
        <w:rPr>
          <w:rFonts w:hint="eastAsia" w:ascii="仿宋_GB2312" w:hAnsi="宋体" w:eastAsia="仿宋_GB2312"/>
          <w:b w:val="0"/>
          <w:bCs w:val="0"/>
          <w:color w:val="auto"/>
          <w:sz w:val="28"/>
          <w:szCs w:val="28"/>
          <w:highlight w:val="none"/>
          <w:u w:val="single"/>
          <w:lang w:val="en-US" w:eastAsia="zh-CN"/>
        </w:rPr>
        <w:t xml:space="preserve">                                    </w:t>
      </w:r>
    </w:p>
    <w:p w14:paraId="5B01D6C5">
      <w:pPr>
        <w:snapToGrid w:val="0"/>
        <w:spacing w:line="560" w:lineRule="exact"/>
        <w:ind w:left="320" w:hanging="280" w:hangingChars="100"/>
        <w:rPr>
          <w:rFonts w:hint="eastAsia" w:ascii="仿宋_GB2312" w:hAnsi="宋体" w:eastAsia="仿宋_GB2312"/>
          <w:b w:val="0"/>
          <w:bCs w:val="0"/>
          <w:color w:val="auto"/>
          <w:sz w:val="28"/>
          <w:szCs w:val="28"/>
          <w:highlight w:val="none"/>
          <w:lang w:val="en-US" w:eastAsia="zh-CN"/>
        </w:rPr>
      </w:pPr>
      <w:r>
        <w:rPr>
          <w:rFonts w:hint="eastAsia" w:ascii="仿宋_GB2312" w:hAnsi="宋体" w:eastAsia="仿宋_GB2312"/>
          <w:b w:val="0"/>
          <w:bCs w:val="0"/>
          <w:color w:val="auto"/>
          <w:sz w:val="28"/>
          <w:szCs w:val="28"/>
          <w:highlight w:val="none"/>
          <w:lang w:val="en-US" w:eastAsia="zh-CN"/>
        </w:rPr>
        <w:t>约定商品名称：</w:t>
      </w:r>
      <w:r>
        <w:rPr>
          <w:rFonts w:hint="eastAsia" w:ascii="仿宋_GB2312" w:hAnsi="宋体" w:eastAsia="仿宋_GB2312"/>
          <w:b w:val="0"/>
          <w:bCs w:val="0"/>
          <w:color w:val="auto"/>
          <w:sz w:val="28"/>
          <w:szCs w:val="28"/>
          <w:highlight w:val="none"/>
          <w:u w:val="single"/>
          <w:lang w:val="en-US" w:eastAsia="zh-CN"/>
        </w:rPr>
        <w:t xml:space="preserve">          </w:t>
      </w:r>
      <w:r>
        <w:rPr>
          <w:rFonts w:hint="eastAsia" w:ascii="仿宋_GB2312" w:hAnsi="宋体" w:eastAsia="仿宋_GB2312"/>
          <w:b w:val="0"/>
          <w:bCs w:val="0"/>
          <w:color w:val="auto"/>
          <w:sz w:val="28"/>
          <w:szCs w:val="28"/>
          <w:highlight w:val="none"/>
          <w:lang w:val="en-US" w:eastAsia="zh-CN"/>
        </w:rPr>
        <w:t>，商品价格</w:t>
      </w:r>
      <w:r>
        <w:rPr>
          <w:rFonts w:hint="eastAsia" w:ascii="仿宋_GB2312" w:hAnsi="宋体" w:eastAsia="仿宋_GB2312"/>
          <w:b w:val="0"/>
          <w:bCs w:val="0"/>
          <w:color w:val="auto"/>
          <w:sz w:val="28"/>
          <w:szCs w:val="28"/>
          <w:highlight w:val="none"/>
          <w:u w:val="single"/>
          <w:lang w:val="en-US" w:eastAsia="zh-CN"/>
        </w:rPr>
        <w:t xml:space="preserve">：         </w:t>
      </w:r>
      <w:r>
        <w:rPr>
          <w:rFonts w:hint="eastAsia" w:ascii="仿宋_GB2312" w:hAnsi="宋体" w:eastAsia="仿宋_GB2312"/>
          <w:b w:val="0"/>
          <w:bCs w:val="0"/>
          <w:color w:val="auto"/>
          <w:sz w:val="28"/>
          <w:szCs w:val="28"/>
          <w:highlight w:val="none"/>
          <w:lang w:val="en-US" w:eastAsia="zh-CN"/>
        </w:rPr>
        <w:t>元，     手工费：</w:t>
      </w:r>
      <w:r>
        <w:rPr>
          <w:rFonts w:hint="eastAsia" w:ascii="仿宋_GB2312" w:hAnsi="宋体" w:eastAsia="仿宋_GB2312"/>
          <w:b w:val="0"/>
          <w:bCs w:val="0"/>
          <w:color w:val="auto"/>
          <w:sz w:val="28"/>
          <w:szCs w:val="28"/>
          <w:highlight w:val="none"/>
          <w:u w:val="single"/>
          <w:lang w:val="en-US" w:eastAsia="zh-CN"/>
        </w:rPr>
        <w:t xml:space="preserve">          </w:t>
      </w:r>
      <w:r>
        <w:rPr>
          <w:rFonts w:hint="eastAsia" w:ascii="仿宋_GB2312" w:hAnsi="宋体" w:eastAsia="仿宋_GB2312"/>
          <w:b w:val="0"/>
          <w:bCs w:val="0"/>
          <w:color w:val="auto"/>
          <w:sz w:val="28"/>
          <w:szCs w:val="28"/>
          <w:highlight w:val="none"/>
          <w:lang w:val="en-US" w:eastAsia="zh-CN"/>
        </w:rPr>
        <w:t>元，其他费：</w:t>
      </w:r>
      <w:r>
        <w:rPr>
          <w:rFonts w:hint="eastAsia" w:ascii="仿宋_GB2312" w:hAnsi="宋体" w:eastAsia="仿宋_GB2312"/>
          <w:b w:val="0"/>
          <w:bCs w:val="0"/>
          <w:color w:val="auto"/>
          <w:sz w:val="28"/>
          <w:szCs w:val="28"/>
          <w:highlight w:val="none"/>
          <w:u w:val="single"/>
          <w:lang w:val="en-US" w:eastAsia="zh-CN"/>
        </w:rPr>
        <w:t xml:space="preserve">          </w:t>
      </w:r>
      <w:r>
        <w:rPr>
          <w:rFonts w:hint="eastAsia" w:ascii="仿宋_GB2312" w:hAnsi="宋体" w:eastAsia="仿宋_GB2312"/>
          <w:b w:val="0"/>
          <w:bCs w:val="0"/>
          <w:color w:val="auto"/>
          <w:sz w:val="28"/>
          <w:szCs w:val="28"/>
          <w:highlight w:val="none"/>
          <w:lang w:val="en-US" w:eastAsia="zh-CN"/>
        </w:rPr>
        <w:t>元，        合计</w:t>
      </w:r>
      <w:r>
        <w:rPr>
          <w:rFonts w:hint="eastAsia" w:ascii="仿宋_GB2312" w:hAnsi="宋体" w:eastAsia="仿宋_GB2312"/>
          <w:b w:val="0"/>
          <w:bCs w:val="0"/>
          <w:color w:val="auto"/>
          <w:sz w:val="28"/>
          <w:szCs w:val="28"/>
          <w:highlight w:val="none"/>
          <w:u w:val="single"/>
          <w:lang w:val="en-US" w:eastAsia="zh-CN"/>
        </w:rPr>
        <w:t xml:space="preserve">：        </w:t>
      </w:r>
      <w:r>
        <w:rPr>
          <w:rFonts w:hint="eastAsia" w:ascii="仿宋_GB2312" w:hAnsi="宋体" w:eastAsia="仿宋_GB2312"/>
          <w:b w:val="0"/>
          <w:bCs w:val="0"/>
          <w:color w:val="auto"/>
          <w:sz w:val="28"/>
          <w:szCs w:val="28"/>
          <w:highlight w:val="none"/>
          <w:lang w:val="en-US" w:eastAsia="zh-CN"/>
        </w:rPr>
        <w:t>元（大写：</w:t>
      </w:r>
      <w:r>
        <w:rPr>
          <w:rFonts w:hint="eastAsia" w:ascii="仿宋_GB2312" w:hAnsi="宋体" w:eastAsia="仿宋_GB2312"/>
          <w:b w:val="0"/>
          <w:bCs w:val="0"/>
          <w:color w:val="auto"/>
          <w:sz w:val="28"/>
          <w:szCs w:val="28"/>
          <w:highlight w:val="none"/>
          <w:u w:val="single"/>
          <w:lang w:val="en-US" w:eastAsia="zh-CN"/>
        </w:rPr>
        <w:t xml:space="preserve">                         </w:t>
      </w:r>
      <w:r>
        <w:rPr>
          <w:rFonts w:hint="eastAsia" w:ascii="仿宋_GB2312" w:hAnsi="宋体" w:eastAsia="仿宋_GB2312"/>
          <w:b w:val="0"/>
          <w:bCs w:val="0"/>
          <w:color w:val="auto"/>
          <w:sz w:val="28"/>
          <w:szCs w:val="28"/>
          <w:highlight w:val="none"/>
          <w:lang w:val="en-US" w:eastAsia="zh-CN"/>
        </w:rPr>
        <w:t>）。</w:t>
      </w:r>
    </w:p>
    <w:p w14:paraId="3712BC5C">
      <w:pPr>
        <w:snapToGrid w:val="0"/>
        <w:spacing w:line="560" w:lineRule="exact"/>
        <w:rPr>
          <w:rFonts w:hint="eastAsia" w:ascii="仿宋_GB2312" w:hAnsi="宋体" w:eastAsia="仿宋_GB2312"/>
          <w:b w:val="0"/>
          <w:bCs w:val="0"/>
          <w:color w:val="auto"/>
          <w:sz w:val="28"/>
          <w:szCs w:val="28"/>
          <w:highlight w:val="none"/>
          <w:lang w:val="en-US" w:eastAsia="zh-CN"/>
        </w:rPr>
      </w:pPr>
      <w:r>
        <w:rPr>
          <w:rFonts w:hint="eastAsia" w:ascii="仿宋_GB2312" w:hAnsi="宋体" w:eastAsia="仿宋_GB2312"/>
          <w:b w:val="0"/>
          <w:bCs w:val="0"/>
          <w:color w:val="auto"/>
          <w:sz w:val="28"/>
          <w:szCs w:val="28"/>
          <w:highlight w:val="none"/>
          <w:lang w:val="en-US" w:eastAsia="zh-CN"/>
        </w:rPr>
        <w:t>维修质量按浙省行业管理相关部门规定标准验收。</w:t>
      </w:r>
    </w:p>
    <w:p w14:paraId="2E3CF32E">
      <w:pPr>
        <w:snapToGrid w:val="0"/>
        <w:spacing w:line="560" w:lineRule="exact"/>
        <w:rPr>
          <w:rFonts w:hint="eastAsia" w:ascii="仿宋_GB2312" w:hAnsi="宋体" w:eastAsia="仿宋_GB2312"/>
          <w:b w:val="0"/>
          <w:bCs w:val="0"/>
          <w:color w:val="auto"/>
          <w:sz w:val="28"/>
          <w:szCs w:val="28"/>
          <w:highlight w:val="none"/>
          <w:lang w:val="en-US" w:eastAsia="zh-CN"/>
        </w:rPr>
      </w:pPr>
      <w:r>
        <w:rPr>
          <w:rFonts w:hint="eastAsia" w:ascii="仿宋_GB2312" w:hAnsi="宋体" w:eastAsia="仿宋_GB2312"/>
          <w:b w:val="0"/>
          <w:bCs w:val="0"/>
          <w:color w:val="auto"/>
          <w:sz w:val="28"/>
          <w:szCs w:val="28"/>
          <w:highlight w:val="none"/>
          <w:lang w:val="en-US" w:eastAsia="zh-CN"/>
        </w:rPr>
        <w:t>甲方同意签字：</w:t>
      </w:r>
      <w:r>
        <w:rPr>
          <w:rFonts w:hint="eastAsia" w:ascii="仿宋_GB2312" w:hAnsi="宋体" w:eastAsia="仿宋_GB2312"/>
          <w:b w:val="0"/>
          <w:bCs w:val="0"/>
          <w:color w:val="auto"/>
          <w:sz w:val="28"/>
          <w:szCs w:val="28"/>
          <w:highlight w:val="none"/>
          <w:u w:val="single"/>
          <w:lang w:val="en-US" w:eastAsia="zh-CN"/>
        </w:rPr>
        <w:t xml:space="preserve">             </w:t>
      </w:r>
      <w:r>
        <w:rPr>
          <w:rFonts w:hint="eastAsia" w:ascii="仿宋_GB2312" w:hAnsi="宋体" w:eastAsia="仿宋_GB2312"/>
          <w:b w:val="0"/>
          <w:bCs w:val="0"/>
          <w:color w:val="auto"/>
          <w:sz w:val="28"/>
          <w:szCs w:val="28"/>
          <w:highlight w:val="none"/>
          <w:lang w:val="en-US" w:eastAsia="zh-CN"/>
        </w:rPr>
        <w:t>乙方同意签字：</w:t>
      </w:r>
      <w:r>
        <w:rPr>
          <w:rFonts w:hint="eastAsia" w:ascii="仿宋_GB2312" w:hAnsi="宋体" w:eastAsia="仿宋_GB2312"/>
          <w:b w:val="0"/>
          <w:bCs w:val="0"/>
          <w:color w:val="auto"/>
          <w:sz w:val="28"/>
          <w:szCs w:val="28"/>
          <w:highlight w:val="none"/>
          <w:u w:val="single"/>
          <w:lang w:val="en-US" w:eastAsia="zh-CN"/>
        </w:rPr>
        <w:t xml:space="preserve">           </w:t>
      </w:r>
      <w:r>
        <w:rPr>
          <w:rFonts w:hint="eastAsia" w:ascii="仿宋_GB2312" w:hAnsi="宋体" w:eastAsia="仿宋_GB2312"/>
          <w:b w:val="0"/>
          <w:bCs w:val="0"/>
          <w:color w:val="auto"/>
          <w:sz w:val="28"/>
          <w:szCs w:val="28"/>
          <w:highlight w:val="none"/>
          <w:lang w:val="en-US" w:eastAsia="zh-CN"/>
        </w:rPr>
        <w:t xml:space="preserve">    </w:t>
      </w:r>
    </w:p>
    <w:p w14:paraId="40EEEF38">
      <w:pPr>
        <w:snapToGrid w:val="0"/>
        <w:spacing w:line="560" w:lineRule="exact"/>
        <w:rPr>
          <w:rFonts w:hint="eastAsia" w:ascii="仿宋_GB2312" w:hAnsi="宋体" w:eastAsia="仿宋_GB2312"/>
          <w:b w:val="0"/>
          <w:bCs w:val="0"/>
          <w:color w:val="auto"/>
          <w:sz w:val="28"/>
          <w:szCs w:val="28"/>
          <w:highlight w:val="none"/>
          <w:lang w:val="en-US" w:eastAsia="zh-CN"/>
        </w:rPr>
      </w:pPr>
    </w:p>
    <w:p w14:paraId="748A671C">
      <w:pPr>
        <w:snapToGrid w:val="0"/>
        <w:spacing w:line="560" w:lineRule="exact"/>
        <w:rPr>
          <w:rFonts w:hint="eastAsia" w:ascii="仿宋_GB2312" w:hAnsi="宋体" w:eastAsia="仿宋_GB2312"/>
          <w:b w:val="0"/>
          <w:bCs w:val="0"/>
          <w:color w:val="auto"/>
          <w:sz w:val="28"/>
          <w:szCs w:val="28"/>
          <w:highlight w:val="none"/>
          <w:lang w:val="en-US" w:eastAsia="zh-CN"/>
        </w:rPr>
      </w:pPr>
      <w:r>
        <w:rPr>
          <w:rFonts w:hint="eastAsia" w:ascii="仿宋_GB2312" w:hAnsi="宋体" w:eastAsia="仿宋_GB2312"/>
          <w:b w:val="0"/>
          <w:bCs w:val="0"/>
          <w:color w:val="auto"/>
          <w:sz w:val="28"/>
          <w:szCs w:val="28"/>
          <w:highlight w:val="none"/>
          <w:lang w:val="en-US" w:eastAsia="zh-CN"/>
        </w:rPr>
        <w:t>签约时间：</w:t>
      </w:r>
      <w:r>
        <w:rPr>
          <w:rFonts w:hint="eastAsia" w:ascii="仿宋_GB2312" w:hAnsi="宋体" w:eastAsia="仿宋_GB2312"/>
          <w:b w:val="0"/>
          <w:bCs w:val="0"/>
          <w:color w:val="auto"/>
          <w:sz w:val="28"/>
          <w:szCs w:val="28"/>
          <w:highlight w:val="none"/>
          <w:u w:val="single"/>
          <w:lang w:val="en-US" w:eastAsia="zh-CN"/>
        </w:rPr>
        <w:t xml:space="preserve">     </w:t>
      </w:r>
      <w:r>
        <w:rPr>
          <w:rFonts w:hint="eastAsia" w:ascii="仿宋_GB2312" w:hAnsi="宋体" w:eastAsia="仿宋_GB2312"/>
          <w:b w:val="0"/>
          <w:bCs w:val="0"/>
          <w:color w:val="auto"/>
          <w:sz w:val="28"/>
          <w:szCs w:val="28"/>
          <w:highlight w:val="none"/>
          <w:lang w:val="en-US" w:eastAsia="zh-CN"/>
        </w:rPr>
        <w:t>年</w:t>
      </w:r>
      <w:r>
        <w:rPr>
          <w:rFonts w:hint="eastAsia" w:ascii="仿宋_GB2312" w:hAnsi="宋体" w:eastAsia="仿宋_GB2312"/>
          <w:b w:val="0"/>
          <w:bCs w:val="0"/>
          <w:color w:val="auto"/>
          <w:sz w:val="28"/>
          <w:szCs w:val="28"/>
          <w:highlight w:val="none"/>
          <w:u w:val="single"/>
          <w:lang w:val="en-US" w:eastAsia="zh-CN"/>
        </w:rPr>
        <w:t xml:space="preserve">   </w:t>
      </w:r>
      <w:r>
        <w:rPr>
          <w:rFonts w:hint="eastAsia" w:ascii="仿宋_GB2312" w:hAnsi="宋体" w:eastAsia="仿宋_GB2312"/>
          <w:b w:val="0"/>
          <w:bCs w:val="0"/>
          <w:color w:val="auto"/>
          <w:sz w:val="28"/>
          <w:szCs w:val="28"/>
          <w:highlight w:val="none"/>
          <w:lang w:val="en-US" w:eastAsia="zh-CN"/>
        </w:rPr>
        <w:t>月</w:t>
      </w:r>
      <w:r>
        <w:rPr>
          <w:rFonts w:hint="eastAsia" w:ascii="仿宋_GB2312" w:hAnsi="宋体" w:eastAsia="仿宋_GB2312"/>
          <w:b w:val="0"/>
          <w:bCs w:val="0"/>
          <w:color w:val="auto"/>
          <w:sz w:val="28"/>
          <w:szCs w:val="28"/>
          <w:highlight w:val="none"/>
          <w:u w:val="single"/>
          <w:lang w:val="en-US" w:eastAsia="zh-CN"/>
        </w:rPr>
        <w:t xml:space="preserve">   </w:t>
      </w:r>
      <w:r>
        <w:rPr>
          <w:rFonts w:hint="eastAsia" w:ascii="仿宋_GB2312" w:hAnsi="宋体" w:eastAsia="仿宋_GB2312"/>
          <w:b w:val="0"/>
          <w:bCs w:val="0"/>
          <w:color w:val="auto"/>
          <w:sz w:val="28"/>
          <w:szCs w:val="28"/>
          <w:highlight w:val="none"/>
          <w:lang w:val="en-US" w:eastAsia="zh-CN"/>
        </w:rPr>
        <w:t>日</w:t>
      </w:r>
    </w:p>
    <w:p w14:paraId="711BDB13">
      <w:pPr>
        <w:snapToGrid w:val="0"/>
        <w:spacing w:line="560" w:lineRule="exact"/>
        <w:rPr>
          <w:rFonts w:hint="eastAsia" w:ascii="仿宋_GB2312" w:hAnsi="宋体" w:eastAsia="仿宋_GB2312"/>
          <w:b w:val="0"/>
          <w:bCs w:val="0"/>
          <w:color w:val="auto"/>
          <w:sz w:val="28"/>
          <w:szCs w:val="28"/>
          <w:highlight w:val="none"/>
          <w:lang w:val="en-US" w:eastAsia="zh-CN"/>
        </w:rPr>
      </w:pPr>
    </w:p>
    <w:p w14:paraId="038DBD7E">
      <w:pPr>
        <w:snapToGrid w:val="0"/>
        <w:spacing w:line="560" w:lineRule="exact"/>
        <w:rPr>
          <w:rFonts w:hint="eastAsia" w:ascii="仿宋_GB2312" w:hAnsi="宋体" w:eastAsia="仿宋_GB2312"/>
          <w:b/>
          <w:bCs/>
          <w:color w:val="auto"/>
          <w:sz w:val="28"/>
          <w:szCs w:val="28"/>
          <w:highlight w:val="none"/>
          <w:lang w:val="en-US" w:eastAsia="zh-CN"/>
        </w:rPr>
      </w:pPr>
      <w:r>
        <w:rPr>
          <w:rFonts w:hint="eastAsia" w:ascii="仿宋_GB2312" w:hAnsi="宋体" w:eastAsia="仿宋_GB2312"/>
          <w:b/>
          <w:bCs/>
          <w:color w:val="auto"/>
          <w:sz w:val="28"/>
          <w:szCs w:val="28"/>
          <w:highlight w:val="none"/>
          <w:lang w:val="en-US" w:eastAsia="zh-CN"/>
        </w:rPr>
        <w:t>除限价和规定商品外，商品、维修价格以协商一致签订维修协议为准。</w:t>
      </w:r>
    </w:p>
    <w:p w14:paraId="36DB77BE">
      <w:pPr>
        <w:snapToGrid w:val="0"/>
        <w:spacing w:line="560" w:lineRule="exact"/>
        <w:rPr>
          <w:rFonts w:hint="eastAsia" w:ascii="仿宋_GB2312" w:hAnsi="宋体" w:eastAsia="仿宋_GB2312"/>
          <w:b w:val="0"/>
          <w:bCs w:val="0"/>
          <w:color w:val="auto"/>
          <w:sz w:val="28"/>
          <w:szCs w:val="28"/>
          <w:highlight w:val="none"/>
          <w:lang w:val="en-US" w:eastAsia="zh-CN"/>
        </w:rPr>
      </w:pPr>
      <w:r>
        <w:rPr>
          <w:rFonts w:hint="eastAsia" w:ascii="仿宋_GB2312" w:hAnsi="宋体" w:eastAsia="仿宋_GB2312"/>
          <w:b w:val="0"/>
          <w:bCs w:val="0"/>
          <w:color w:val="auto"/>
          <w:sz w:val="28"/>
          <w:szCs w:val="28"/>
          <w:highlight w:val="none"/>
          <w:lang w:val="en-US" w:eastAsia="zh-CN"/>
        </w:rPr>
        <w:t>因在维修过程中出现新情况（上款协议有遗留或需新增的收费项目），双方同意在上述协议内容的基础上，做如下补充：</w:t>
      </w:r>
    </w:p>
    <w:p w14:paraId="7DA99A37">
      <w:pPr>
        <w:snapToGrid w:val="0"/>
        <w:spacing w:line="560" w:lineRule="exact"/>
        <w:rPr>
          <w:rFonts w:hint="eastAsia" w:ascii="仿宋_GB2312" w:hAnsi="宋体" w:eastAsia="仿宋_GB2312"/>
          <w:b w:val="0"/>
          <w:bCs w:val="0"/>
          <w:color w:val="auto"/>
          <w:sz w:val="28"/>
          <w:szCs w:val="28"/>
          <w:highlight w:val="none"/>
          <w:u w:val="single"/>
          <w:lang w:val="en-US" w:eastAsia="zh-CN"/>
        </w:rPr>
      </w:pPr>
      <w:r>
        <w:rPr>
          <w:rFonts w:hint="eastAsia" w:ascii="仿宋_GB2312" w:hAnsi="宋体" w:eastAsia="仿宋_GB2312"/>
          <w:b w:val="0"/>
          <w:bCs w:val="0"/>
          <w:color w:val="auto"/>
          <w:sz w:val="28"/>
          <w:szCs w:val="28"/>
          <w:highlight w:val="none"/>
          <w:lang w:val="en-US" w:eastAsia="zh-CN"/>
        </w:rPr>
        <w:t>补充一：</w:t>
      </w:r>
      <w:r>
        <w:rPr>
          <w:rFonts w:hint="eastAsia" w:ascii="仿宋_GB2312" w:hAnsi="宋体" w:eastAsia="仿宋_GB2312"/>
          <w:b w:val="0"/>
          <w:bCs w:val="0"/>
          <w:color w:val="auto"/>
          <w:sz w:val="28"/>
          <w:szCs w:val="28"/>
          <w:highlight w:val="none"/>
          <w:u w:val="single"/>
          <w:lang w:val="en-US" w:eastAsia="zh-CN"/>
        </w:rPr>
        <w:tab/>
      </w:r>
      <w:r>
        <w:rPr>
          <w:rFonts w:hint="eastAsia" w:ascii="仿宋_GB2312" w:hAnsi="宋体" w:eastAsia="仿宋_GB2312"/>
          <w:b w:val="0"/>
          <w:bCs w:val="0"/>
          <w:color w:val="auto"/>
          <w:sz w:val="28"/>
          <w:szCs w:val="28"/>
          <w:highlight w:val="none"/>
          <w:u w:val="single"/>
          <w:lang w:val="en-US" w:eastAsia="zh-CN"/>
        </w:rPr>
        <w:t xml:space="preserve">                                         </w:t>
      </w:r>
    </w:p>
    <w:p w14:paraId="312B88F9">
      <w:pPr>
        <w:snapToGrid w:val="0"/>
        <w:spacing w:line="560" w:lineRule="exact"/>
        <w:rPr>
          <w:rFonts w:hint="eastAsia" w:ascii="仿宋_GB2312" w:hAnsi="宋体" w:eastAsia="仿宋_GB2312"/>
          <w:b w:val="0"/>
          <w:bCs w:val="0"/>
          <w:color w:val="auto"/>
          <w:sz w:val="28"/>
          <w:szCs w:val="28"/>
          <w:highlight w:val="none"/>
          <w:lang w:val="en-US" w:eastAsia="zh-CN"/>
        </w:rPr>
      </w:pPr>
      <w:r>
        <w:rPr>
          <w:rFonts w:hint="eastAsia" w:ascii="仿宋_GB2312" w:hAnsi="宋体" w:eastAsia="仿宋_GB2312"/>
          <w:b w:val="0"/>
          <w:bCs w:val="0"/>
          <w:color w:val="auto"/>
          <w:sz w:val="28"/>
          <w:szCs w:val="28"/>
          <w:highlight w:val="none"/>
          <w:lang w:val="en-US" w:eastAsia="zh-CN"/>
        </w:rPr>
        <w:t>甲方同意签字：</w:t>
      </w:r>
      <w:r>
        <w:rPr>
          <w:rFonts w:hint="eastAsia" w:ascii="仿宋_GB2312" w:hAnsi="宋体" w:eastAsia="仿宋_GB2312"/>
          <w:b w:val="0"/>
          <w:bCs w:val="0"/>
          <w:color w:val="auto"/>
          <w:sz w:val="28"/>
          <w:szCs w:val="28"/>
          <w:highlight w:val="none"/>
          <w:u w:val="single"/>
          <w:lang w:val="en-US" w:eastAsia="zh-CN"/>
        </w:rPr>
        <w:tab/>
      </w:r>
      <w:r>
        <w:rPr>
          <w:rFonts w:hint="eastAsia" w:ascii="仿宋_GB2312" w:hAnsi="宋体" w:eastAsia="仿宋_GB2312"/>
          <w:b w:val="0"/>
          <w:bCs w:val="0"/>
          <w:color w:val="auto"/>
          <w:sz w:val="28"/>
          <w:szCs w:val="28"/>
          <w:highlight w:val="none"/>
          <w:u w:val="single"/>
          <w:lang w:val="en-US" w:eastAsia="zh-CN"/>
        </w:rPr>
        <w:t xml:space="preserve">                                         </w:t>
      </w:r>
      <w:r>
        <w:rPr>
          <w:rFonts w:hint="eastAsia" w:ascii="仿宋_GB2312" w:hAnsi="宋体" w:eastAsia="仿宋_GB2312"/>
          <w:b w:val="0"/>
          <w:bCs w:val="0"/>
          <w:color w:val="auto"/>
          <w:sz w:val="28"/>
          <w:szCs w:val="28"/>
          <w:highlight w:val="none"/>
          <w:lang w:val="en-US" w:eastAsia="zh-CN"/>
        </w:rPr>
        <w:t xml:space="preserve"> </w:t>
      </w:r>
    </w:p>
    <w:p w14:paraId="7F855480">
      <w:pPr>
        <w:snapToGrid w:val="0"/>
        <w:spacing w:line="560" w:lineRule="exact"/>
        <w:rPr>
          <w:rFonts w:hint="eastAsia" w:ascii="仿宋_GB2312" w:hAnsi="宋体" w:eastAsia="仿宋_GB2312"/>
          <w:b w:val="0"/>
          <w:bCs w:val="0"/>
          <w:color w:val="auto"/>
          <w:sz w:val="28"/>
          <w:szCs w:val="28"/>
          <w:highlight w:val="none"/>
          <w:u w:val="single"/>
          <w:lang w:val="en-US" w:eastAsia="zh-CN"/>
        </w:rPr>
      </w:pPr>
      <w:r>
        <w:rPr>
          <w:rFonts w:hint="eastAsia" w:ascii="仿宋_GB2312" w:hAnsi="宋体" w:eastAsia="仿宋_GB2312"/>
          <w:b w:val="0"/>
          <w:bCs w:val="0"/>
          <w:color w:val="auto"/>
          <w:sz w:val="28"/>
          <w:szCs w:val="28"/>
          <w:highlight w:val="none"/>
          <w:lang w:val="en-US" w:eastAsia="zh-CN"/>
        </w:rPr>
        <w:t>补充二：</w:t>
      </w:r>
      <w:r>
        <w:rPr>
          <w:rFonts w:hint="eastAsia" w:ascii="仿宋_GB2312" w:hAnsi="宋体" w:eastAsia="仿宋_GB2312"/>
          <w:b w:val="0"/>
          <w:bCs w:val="0"/>
          <w:color w:val="auto"/>
          <w:sz w:val="28"/>
          <w:szCs w:val="28"/>
          <w:highlight w:val="none"/>
          <w:u w:val="single"/>
          <w:lang w:val="en-US" w:eastAsia="zh-CN"/>
        </w:rPr>
        <w:tab/>
      </w:r>
      <w:r>
        <w:rPr>
          <w:rFonts w:hint="eastAsia" w:ascii="仿宋_GB2312" w:hAnsi="宋体" w:eastAsia="仿宋_GB2312"/>
          <w:b w:val="0"/>
          <w:bCs w:val="0"/>
          <w:color w:val="auto"/>
          <w:sz w:val="28"/>
          <w:szCs w:val="28"/>
          <w:highlight w:val="none"/>
          <w:u w:val="single"/>
          <w:lang w:val="en-US" w:eastAsia="zh-CN"/>
        </w:rPr>
        <w:t xml:space="preserve">                                          </w:t>
      </w:r>
    </w:p>
    <w:p w14:paraId="5460334C">
      <w:pPr>
        <w:snapToGrid w:val="0"/>
        <w:spacing w:line="560" w:lineRule="exact"/>
        <w:rPr>
          <w:rFonts w:hint="eastAsia" w:ascii="仿宋_GB2312" w:hAnsi="宋体" w:eastAsia="仿宋_GB2312"/>
          <w:b/>
          <w:bCs/>
          <w:color w:val="auto"/>
          <w:sz w:val="24"/>
          <w:highlight w:val="none"/>
          <w:lang w:val="en-US" w:eastAsia="zh-CN"/>
        </w:rPr>
      </w:pPr>
      <w:r>
        <w:rPr>
          <w:rFonts w:hint="eastAsia" w:ascii="仿宋_GB2312" w:hAnsi="宋体" w:eastAsia="仿宋_GB2312"/>
          <w:b w:val="0"/>
          <w:bCs w:val="0"/>
          <w:color w:val="auto"/>
          <w:sz w:val="28"/>
          <w:szCs w:val="28"/>
          <w:highlight w:val="none"/>
          <w:lang w:val="en-US" w:eastAsia="zh-CN"/>
        </w:rPr>
        <w:t>甲方同意签字：</w:t>
      </w:r>
      <w:r>
        <w:rPr>
          <w:rFonts w:hint="eastAsia" w:ascii="仿宋_GB2312" w:hAnsi="宋体" w:eastAsia="仿宋_GB2312"/>
          <w:b w:val="0"/>
          <w:bCs w:val="0"/>
          <w:color w:val="auto"/>
          <w:sz w:val="28"/>
          <w:szCs w:val="28"/>
          <w:highlight w:val="none"/>
          <w:u w:val="single"/>
          <w:lang w:val="en-US" w:eastAsia="zh-CN"/>
        </w:rPr>
        <w:tab/>
      </w:r>
      <w:r>
        <w:rPr>
          <w:rFonts w:hint="eastAsia" w:ascii="仿宋_GB2312" w:hAnsi="宋体" w:eastAsia="仿宋_GB2312"/>
          <w:b w:val="0"/>
          <w:bCs w:val="0"/>
          <w:color w:val="auto"/>
          <w:sz w:val="28"/>
          <w:szCs w:val="28"/>
          <w:highlight w:val="none"/>
          <w:u w:val="single"/>
          <w:lang w:val="en-US" w:eastAsia="zh-CN"/>
        </w:rPr>
        <w:t xml:space="preserve">                                    </w:t>
      </w:r>
      <w:r>
        <w:rPr>
          <w:rFonts w:hint="eastAsia" w:ascii="仿宋_GB2312" w:hAnsi="宋体" w:eastAsia="仿宋_GB2312"/>
          <w:b w:val="0"/>
          <w:bCs w:val="0"/>
          <w:color w:val="auto"/>
          <w:sz w:val="32"/>
          <w:szCs w:val="32"/>
          <w:highlight w:val="none"/>
          <w:u w:val="single"/>
          <w:lang w:val="en-US" w:eastAsia="zh-CN"/>
        </w:rPr>
        <w:t xml:space="preserve">    </w:t>
      </w:r>
      <w:r>
        <w:rPr>
          <w:rFonts w:hint="eastAsia" w:ascii="仿宋_GB2312" w:hAnsi="宋体" w:eastAsia="仿宋_GB2312"/>
          <w:b w:val="0"/>
          <w:bCs w:val="0"/>
          <w:color w:val="auto"/>
          <w:sz w:val="32"/>
          <w:szCs w:val="32"/>
          <w:highlight w:val="none"/>
          <w:lang w:val="en-US" w:eastAsia="zh-CN"/>
        </w:rPr>
        <w:t xml:space="preserve"> </w:t>
      </w:r>
      <w:r>
        <w:rPr>
          <w:rFonts w:hint="eastAsia" w:ascii="仿宋_GB2312" w:hAnsi="宋体" w:eastAsia="仿宋_GB2312"/>
          <w:b/>
          <w:bCs/>
          <w:color w:val="auto"/>
          <w:sz w:val="32"/>
          <w:szCs w:val="32"/>
          <w:highlight w:val="none"/>
          <w:lang w:val="en-US" w:eastAsia="zh-CN"/>
        </w:rPr>
        <w:t xml:space="preserve">                                         </w:t>
      </w:r>
    </w:p>
    <w:p w14:paraId="2DC4C51D">
      <w:pPr>
        <w:snapToGrid w:val="0"/>
        <w:spacing w:line="460" w:lineRule="exact"/>
        <w:rPr>
          <w:rFonts w:hint="eastAsia" w:ascii="仿宋_GB2312" w:hAnsi="宋体" w:eastAsia="仿宋_GB2312"/>
          <w:b/>
          <w:bCs/>
          <w:color w:val="auto"/>
          <w:sz w:val="24"/>
          <w:highlight w:val="none"/>
          <w:lang w:val="en-US" w:eastAsia="zh-CN"/>
        </w:rPr>
      </w:pPr>
      <w:r>
        <w:rPr>
          <w:rFonts w:hint="eastAsia" w:ascii="仿宋_GB2312" w:hAnsi="宋体" w:eastAsia="仿宋_GB2312"/>
          <w:b/>
          <w:bCs/>
          <w:color w:val="auto"/>
          <w:sz w:val="24"/>
          <w:highlight w:val="none"/>
          <w:lang w:val="en-US" w:eastAsia="zh-CN"/>
        </w:rPr>
        <w:t>附件7</w:t>
      </w:r>
    </w:p>
    <w:p w14:paraId="138D4A9D">
      <w:pPr>
        <w:snapToGrid w:val="0"/>
        <w:spacing w:line="460" w:lineRule="exact"/>
        <w:jc w:val="center"/>
        <w:rPr>
          <w:rFonts w:hint="eastAsia" w:ascii="仿宋_GB2312" w:hAnsi="宋体" w:eastAsia="仿宋_GB2312"/>
          <w:b/>
          <w:bCs/>
          <w:color w:val="auto"/>
          <w:sz w:val="22"/>
          <w:szCs w:val="22"/>
          <w:highlight w:val="none"/>
          <w:lang w:val="en-US" w:eastAsia="zh-CN"/>
        </w:rPr>
      </w:pPr>
      <w:r>
        <w:rPr>
          <w:rFonts w:hint="eastAsia" w:ascii="仿宋_GB2312" w:hAnsi="宋体" w:eastAsia="仿宋_GB2312"/>
          <w:b/>
          <w:bCs/>
          <w:color w:val="auto"/>
          <w:sz w:val="32"/>
          <w:szCs w:val="32"/>
          <w:highlight w:val="none"/>
          <w:lang w:val="en-US" w:eastAsia="zh-CN"/>
        </w:rPr>
        <w:t>限价和免费项目表</w:t>
      </w:r>
      <w:r>
        <w:rPr>
          <w:rFonts w:hint="eastAsia" w:ascii="仿宋_GB2312" w:hAnsi="宋体" w:eastAsia="仿宋_GB2312"/>
          <w:b/>
          <w:bCs/>
          <w:color w:val="auto"/>
          <w:sz w:val="22"/>
          <w:szCs w:val="22"/>
          <w:highlight w:val="none"/>
          <w:lang w:val="en-US" w:eastAsia="zh-CN"/>
        </w:rPr>
        <w:t>(单位：元）</w:t>
      </w:r>
    </w:p>
    <w:p w14:paraId="48A93C4E">
      <w:pPr>
        <w:snapToGrid w:val="0"/>
        <w:spacing w:line="460" w:lineRule="exact"/>
        <w:ind w:firstLine="482" w:firstLineChars="200"/>
        <w:rPr>
          <w:rFonts w:hint="default" w:eastAsia="仿宋_GB2312"/>
          <w:b/>
          <w:bCs/>
          <w:color w:val="auto"/>
          <w:sz w:val="24"/>
          <w:szCs w:val="21"/>
          <w:highlight w:val="none"/>
          <w:lang w:val="en-US" w:eastAsia="zh-CN"/>
        </w:rPr>
      </w:pPr>
    </w:p>
    <w:tbl>
      <w:tblPr>
        <w:tblStyle w:val="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90"/>
        <w:gridCol w:w="1290"/>
        <w:gridCol w:w="2925"/>
        <w:gridCol w:w="1292"/>
        <w:gridCol w:w="1722"/>
      </w:tblGrid>
      <w:tr w14:paraId="7DCB6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584FF">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序号</w:t>
            </w:r>
          </w:p>
        </w:tc>
        <w:tc>
          <w:tcPr>
            <w:tcW w:w="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14115">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类别</w:t>
            </w:r>
          </w:p>
        </w:tc>
        <w:tc>
          <w:tcPr>
            <w:tcW w:w="1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E2C49">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商品</w:t>
            </w:r>
          </w:p>
        </w:tc>
        <w:tc>
          <w:tcPr>
            <w:tcW w:w="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33EC2">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规格</w:t>
            </w:r>
          </w:p>
        </w:tc>
        <w:tc>
          <w:tcPr>
            <w:tcW w:w="10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D0B10">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限价</w:t>
            </w:r>
          </w:p>
        </w:tc>
      </w:tr>
      <w:tr w14:paraId="36301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968A8">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1</w:t>
            </w:r>
          </w:p>
        </w:tc>
        <w:tc>
          <w:tcPr>
            <w:tcW w:w="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F600F">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机油</w:t>
            </w:r>
          </w:p>
        </w:tc>
        <w:tc>
          <w:tcPr>
            <w:tcW w:w="1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245E9">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美孚一号</w:t>
            </w:r>
          </w:p>
        </w:tc>
        <w:tc>
          <w:tcPr>
            <w:tcW w:w="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8F51B">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1L装</w:t>
            </w:r>
          </w:p>
        </w:tc>
        <w:tc>
          <w:tcPr>
            <w:tcW w:w="10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8BA80">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145</w:t>
            </w:r>
          </w:p>
        </w:tc>
      </w:tr>
      <w:tr w14:paraId="0029F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02707">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2</w:t>
            </w:r>
          </w:p>
        </w:tc>
        <w:tc>
          <w:tcPr>
            <w:tcW w:w="323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15902">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启动搭电、胎压检测、轿车类轮胎充气</w:t>
            </w:r>
          </w:p>
        </w:tc>
        <w:tc>
          <w:tcPr>
            <w:tcW w:w="10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52224">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免费</w:t>
            </w:r>
          </w:p>
        </w:tc>
      </w:tr>
      <w:tr w14:paraId="617A9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683FD">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3</w:t>
            </w:r>
          </w:p>
        </w:tc>
        <w:tc>
          <w:tcPr>
            <w:tcW w:w="323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92B37">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货车大客类轮胎充气</w:t>
            </w:r>
          </w:p>
        </w:tc>
        <w:tc>
          <w:tcPr>
            <w:tcW w:w="10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EE2D6">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30 元/只</w:t>
            </w:r>
          </w:p>
        </w:tc>
      </w:tr>
      <w:tr w14:paraId="71238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9CB24">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4</w:t>
            </w:r>
          </w:p>
        </w:tc>
        <w:tc>
          <w:tcPr>
            <w:tcW w:w="323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882B9">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轿车类更换备胎</w:t>
            </w:r>
          </w:p>
        </w:tc>
        <w:tc>
          <w:tcPr>
            <w:tcW w:w="10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096D4">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40</w:t>
            </w:r>
            <w:r>
              <w:rPr>
                <w:rFonts w:hint="eastAsia" w:ascii="宋体" w:hAnsi="宋体" w:cs="宋体"/>
                <w:i w:val="0"/>
                <w:iCs w:val="0"/>
                <w:color w:val="auto"/>
                <w:kern w:val="0"/>
                <w:sz w:val="28"/>
                <w:szCs w:val="28"/>
                <w:highlight w:val="none"/>
                <w:u w:val="none"/>
                <w:lang w:val="en-US" w:eastAsia="zh-CN" w:bidi="ar"/>
              </w:rPr>
              <w:t xml:space="preserve"> </w:t>
            </w:r>
            <w:r>
              <w:rPr>
                <w:rFonts w:hint="eastAsia" w:ascii="宋体" w:hAnsi="宋体" w:eastAsia="宋体" w:cs="宋体"/>
                <w:i w:val="0"/>
                <w:iCs w:val="0"/>
                <w:color w:val="auto"/>
                <w:kern w:val="0"/>
                <w:sz w:val="28"/>
                <w:szCs w:val="28"/>
                <w:highlight w:val="none"/>
                <w:u w:val="none"/>
                <w:lang w:val="en-US" w:eastAsia="zh-CN" w:bidi="ar"/>
              </w:rPr>
              <w:t>元/只</w:t>
            </w:r>
          </w:p>
        </w:tc>
      </w:tr>
      <w:tr w14:paraId="20B75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180C8">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5</w:t>
            </w:r>
          </w:p>
        </w:tc>
        <w:tc>
          <w:tcPr>
            <w:tcW w:w="323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0D3E0">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轿车类补胎(内胎）</w:t>
            </w:r>
          </w:p>
        </w:tc>
        <w:tc>
          <w:tcPr>
            <w:tcW w:w="10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870A4">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50 元/只</w:t>
            </w:r>
          </w:p>
        </w:tc>
      </w:tr>
      <w:tr w14:paraId="34237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4159E">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6</w:t>
            </w:r>
          </w:p>
        </w:tc>
        <w:tc>
          <w:tcPr>
            <w:tcW w:w="323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C5B10">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轿车类补胎(防爆胎）</w:t>
            </w:r>
          </w:p>
        </w:tc>
        <w:tc>
          <w:tcPr>
            <w:tcW w:w="10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FD320">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80 元/只</w:t>
            </w:r>
          </w:p>
        </w:tc>
      </w:tr>
    </w:tbl>
    <w:p w14:paraId="4600C55F">
      <w:pPr>
        <w:snapToGrid w:val="0"/>
        <w:spacing w:line="460" w:lineRule="exact"/>
        <w:rPr>
          <w:rFonts w:hint="eastAsia" w:ascii="仿宋_GB2312" w:hAnsi="宋体" w:eastAsia="仿宋_GB2312" w:cs="Times New Roman"/>
          <w:color w:val="auto"/>
          <w:sz w:val="24"/>
          <w:szCs w:val="24"/>
          <w:highlight w:val="none"/>
          <w:lang w:val="en-US" w:eastAsia="zh-CN"/>
        </w:rPr>
      </w:pPr>
    </w:p>
    <w:p w14:paraId="4D641D7B">
      <w:pPr>
        <w:snapToGrid w:val="0"/>
        <w:spacing w:line="460" w:lineRule="exact"/>
        <w:rPr>
          <w:rFonts w:hint="eastAsia" w:ascii="仿宋_GB2312" w:hAnsi="宋体" w:eastAsia="仿宋_GB2312"/>
          <w:color w:val="auto"/>
          <w:sz w:val="24"/>
          <w:highlight w:val="none"/>
          <w:lang w:val="en-GB" w:eastAsia="zh-CN"/>
        </w:rPr>
      </w:pPr>
      <w:r>
        <w:rPr>
          <w:rFonts w:hint="eastAsia" w:ascii="仿宋_GB2312" w:hAnsi="宋体" w:eastAsia="仿宋_GB2312" w:cs="Times New Roman"/>
          <w:color w:val="auto"/>
          <w:sz w:val="24"/>
          <w:szCs w:val="24"/>
          <w:highlight w:val="none"/>
          <w:lang w:val="en-US" w:eastAsia="zh-CN"/>
        </w:rPr>
        <w:t>具体项目及限价如有变动，</w:t>
      </w:r>
      <w:r>
        <w:rPr>
          <w:rFonts w:hint="eastAsia" w:ascii="仿宋_GB2312" w:hAnsi="宋体" w:eastAsia="仿宋_GB2312" w:cs="Times New Roman"/>
          <w:color w:val="auto"/>
          <w:sz w:val="24"/>
          <w:szCs w:val="24"/>
          <w:highlight w:val="none"/>
        </w:rPr>
        <w:t>以甲方</w:t>
      </w:r>
      <w:r>
        <w:rPr>
          <w:rFonts w:hint="eastAsia" w:ascii="仿宋_GB2312" w:hAnsi="宋体" w:eastAsia="仿宋_GB2312" w:cs="Times New Roman"/>
          <w:color w:val="auto"/>
          <w:sz w:val="24"/>
          <w:szCs w:val="24"/>
          <w:highlight w:val="none"/>
          <w:lang w:val="en-US" w:eastAsia="zh-CN"/>
        </w:rPr>
        <w:t>最新</w:t>
      </w:r>
      <w:r>
        <w:rPr>
          <w:rFonts w:hint="eastAsia" w:ascii="仿宋_GB2312" w:hAnsi="宋体" w:eastAsia="仿宋_GB2312" w:cs="Times New Roman"/>
          <w:color w:val="auto"/>
          <w:sz w:val="24"/>
          <w:szCs w:val="24"/>
          <w:highlight w:val="none"/>
        </w:rPr>
        <w:t>书面</w:t>
      </w:r>
      <w:r>
        <w:rPr>
          <w:rFonts w:hint="eastAsia" w:ascii="仿宋_GB2312" w:hAnsi="宋体" w:eastAsia="仿宋_GB2312" w:cs="Times New Roman"/>
          <w:color w:val="auto"/>
          <w:sz w:val="24"/>
          <w:szCs w:val="24"/>
          <w:highlight w:val="none"/>
          <w:lang w:eastAsia="zh-CN"/>
        </w:rPr>
        <w:t>函</w:t>
      </w:r>
      <w:r>
        <w:rPr>
          <w:rFonts w:hint="eastAsia" w:ascii="仿宋_GB2312" w:hAnsi="宋体" w:eastAsia="仿宋_GB2312" w:cs="Times New Roman"/>
          <w:color w:val="auto"/>
          <w:sz w:val="24"/>
          <w:szCs w:val="24"/>
          <w:highlight w:val="none"/>
        </w:rPr>
        <w:t>为准</w:t>
      </w:r>
      <w:r>
        <w:rPr>
          <w:rFonts w:hint="eastAsia" w:ascii="仿宋_GB2312" w:hAnsi="宋体" w:eastAsia="仿宋_GB2312" w:cs="Times New Roman"/>
          <w:color w:val="auto"/>
          <w:sz w:val="24"/>
          <w:szCs w:val="24"/>
          <w:highlight w:val="none"/>
          <w:lang w:eastAsia="zh-CN"/>
        </w:rPr>
        <w:t>。</w:t>
      </w:r>
    </w:p>
    <w:p w14:paraId="7886DBDE">
      <w:pPr>
        <w:snapToGrid w:val="0"/>
        <w:spacing w:line="460" w:lineRule="exact"/>
        <w:rPr>
          <w:rFonts w:ascii="仿宋_GB2312" w:hAnsi="宋体" w:eastAsia="仿宋_GB2312"/>
          <w:color w:val="auto"/>
          <w:sz w:val="24"/>
          <w:highlight w:val="none"/>
          <w:lang w:val="en-GB"/>
        </w:rPr>
      </w:pPr>
    </w:p>
    <w:p w14:paraId="3B7D66AD">
      <w:pPr>
        <w:widowControl w:val="0"/>
        <w:numPr>
          <w:ilvl w:val="0"/>
          <w:numId w:val="0"/>
        </w:numPr>
        <w:tabs>
          <w:tab w:val="left" w:pos="4200"/>
        </w:tabs>
        <w:jc w:val="both"/>
        <w:rPr>
          <w:rFonts w:hint="default" w:ascii="仿宋_GB2312" w:eastAsia="仿宋_GB2312"/>
          <w:color w:val="auto"/>
          <w:sz w:val="32"/>
          <w:szCs w:val="32"/>
          <w:highlight w:val="none"/>
          <w:lang w:val="en-US" w:eastAsia="zh-CN"/>
        </w:rPr>
      </w:pPr>
    </w:p>
    <w:p w14:paraId="53213A67">
      <w:pPr>
        <w:rPr>
          <w:color w:val="auto"/>
          <w:highlight w:val="none"/>
        </w:rPr>
      </w:pPr>
    </w:p>
    <w:p w14:paraId="00830FBE">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Times New Roman Regular">
    <w:altName w:val="Times New Roman"/>
    <w:panose1 w:val="02020503050405090304"/>
    <w:charset w:val="00"/>
    <w:family w:val="auto"/>
    <w:pitch w:val="default"/>
    <w:sig w:usb0="00000000" w:usb1="00000000" w:usb2="00000001" w:usb3="00000000" w:csb0="400001BF" w:csb1="DF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9176985"/>
      <w:docPartObj>
        <w:docPartGallery w:val="autotext"/>
      </w:docPartObj>
    </w:sdtPr>
    <w:sdtContent>
      <w:p w14:paraId="45EABD0F">
        <w:pPr>
          <w:pStyle w:val="3"/>
          <w:jc w:val="center"/>
        </w:pPr>
        <w:r>
          <w:fldChar w:fldCharType="begin"/>
        </w:r>
        <w:r>
          <w:instrText xml:space="preserve"> PAGE   \* MERGEFORMAT </w:instrText>
        </w:r>
        <w:r>
          <w:fldChar w:fldCharType="separate"/>
        </w:r>
        <w:r>
          <w:rPr>
            <w:lang w:val="zh-CN"/>
          </w:rPr>
          <w:t>1</w:t>
        </w:r>
        <w:r>
          <w:fldChar w:fldCharType="end"/>
        </w:r>
      </w:p>
    </w:sdtContent>
  </w:sdt>
  <w:p w14:paraId="47A0BB7F">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AB15F">
    <w:pPr>
      <w:pStyle w:val="4"/>
      <w:jc w:val="right"/>
      <w:rPr>
        <w:rFonts w:hint="default" w:eastAsiaTheme="minorEastAsia"/>
        <w:lang w:val="en-US" w:eastAsia="zh-CN"/>
      </w:rPr>
    </w:pPr>
    <w:r>
      <w:rPr>
        <w:rFonts w:hint="eastAsia"/>
        <w:lang w:val="en-US" w:eastAsia="zh-CN"/>
      </w:rPr>
      <w:t>2024版服务区汽修项目经营管理合同</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7FF5D7"/>
    <w:rsid w:val="2D7FF5D7"/>
    <w:rsid w:val="6D57136A"/>
    <w:rsid w:val="6EA25A15"/>
    <w:rsid w:val="754543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0"/>
    <w:pPr>
      <w:jc w:val="left"/>
    </w:pPr>
    <w:rPr>
      <w:rFonts w:asciiTheme="minorHAnsi" w:hAnsiTheme="minorHAnsi" w:eastAsiaTheme="minorEastAsia" w:cstheme="minorBidi"/>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6711</Words>
  <Characters>6780</Characters>
  <Lines>0</Lines>
  <Paragraphs>0</Paragraphs>
  <TotalTime>0</TotalTime>
  <ScaleCrop>false</ScaleCrop>
  <LinksUpToDate>false</LinksUpToDate>
  <CharactersWithSpaces>6964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2024-11-05T08:36:00Z</dcterms:created>
  <dc:creator>QIN</dc:creator>
  <cp:lastModifiedBy>zkl</cp:lastModifiedBy>
  <dcterms:modified xsi:type="dcterms:W3CDTF">2024-12-09T09:03:30Z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FAE31B5507A14A1EB30AEC653FB95296_13</vt:lpwstr>
  </property>
</Properties>
</file>