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DD16">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14:paraId="6F67F351">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合同编号：【】</w:t>
      </w:r>
    </w:p>
    <w:p w14:paraId="59049E4B">
      <w:pPr>
        <w:spacing w:line="480" w:lineRule="exact"/>
        <w:rPr>
          <w:rFonts w:ascii="仿宋_GB2312" w:eastAsia="仿宋_GB2312"/>
          <w:sz w:val="24"/>
        </w:rPr>
      </w:pPr>
    </w:p>
    <w:p w14:paraId="542E5B6D">
      <w:pPr>
        <w:spacing w:line="480" w:lineRule="exact"/>
        <w:rPr>
          <w:rFonts w:ascii="仿宋_GB2312" w:eastAsia="仿宋_GB2312"/>
          <w:sz w:val="24"/>
        </w:rPr>
      </w:pPr>
      <w:r>
        <w:rPr>
          <w:rFonts w:hint="eastAsia" w:ascii="仿宋_GB2312" w:eastAsia="仿宋_GB2312"/>
          <w:sz w:val="24"/>
        </w:rPr>
        <w:t>甲方：【】服务区</w:t>
      </w:r>
    </w:p>
    <w:p w14:paraId="67597EB6">
      <w:pPr>
        <w:spacing w:line="480" w:lineRule="exact"/>
        <w:rPr>
          <w:rFonts w:ascii="仿宋_GB2312" w:eastAsia="仿宋_GB2312"/>
          <w:sz w:val="24"/>
        </w:rPr>
      </w:pPr>
      <w:r>
        <w:rPr>
          <w:rFonts w:hint="eastAsia" w:ascii="仿宋_GB2312" w:eastAsia="仿宋_GB2312"/>
          <w:sz w:val="24"/>
        </w:rPr>
        <w:t>地址：</w:t>
      </w:r>
    </w:p>
    <w:p w14:paraId="1B7FC7A8">
      <w:pPr>
        <w:spacing w:line="480" w:lineRule="exact"/>
        <w:rPr>
          <w:rFonts w:ascii="仿宋_GB2312" w:eastAsia="仿宋_GB2312"/>
          <w:sz w:val="24"/>
        </w:rPr>
      </w:pPr>
      <w:r>
        <w:rPr>
          <w:rFonts w:hint="eastAsia" w:ascii="仿宋_GB2312" w:eastAsia="仿宋_GB2312"/>
          <w:sz w:val="24"/>
        </w:rPr>
        <w:t>负责人：</w:t>
      </w:r>
    </w:p>
    <w:p w14:paraId="238E5BD6">
      <w:pPr>
        <w:spacing w:line="480" w:lineRule="exact"/>
        <w:rPr>
          <w:rFonts w:ascii="仿宋_GB2312" w:eastAsia="仿宋_GB2312"/>
          <w:sz w:val="24"/>
        </w:rPr>
      </w:pPr>
      <w:r>
        <w:rPr>
          <w:rFonts w:hint="eastAsia" w:ascii="仿宋_GB2312" w:eastAsia="仿宋_GB2312"/>
          <w:sz w:val="24"/>
        </w:rPr>
        <w:t>（以下简称甲方）</w:t>
      </w:r>
    </w:p>
    <w:p w14:paraId="2683C2F5">
      <w:pPr>
        <w:spacing w:line="480" w:lineRule="exact"/>
        <w:rPr>
          <w:rFonts w:ascii="仿宋_GB2312" w:eastAsia="仿宋_GB2312"/>
          <w:sz w:val="24"/>
        </w:rPr>
      </w:pPr>
    </w:p>
    <w:p w14:paraId="12F7E71D">
      <w:pPr>
        <w:spacing w:line="480" w:lineRule="exact"/>
        <w:rPr>
          <w:rFonts w:ascii="仿宋_GB2312" w:eastAsia="仿宋_GB2312"/>
          <w:sz w:val="24"/>
        </w:rPr>
      </w:pPr>
      <w:r>
        <w:rPr>
          <w:rFonts w:hint="eastAsia" w:ascii="仿宋_GB2312" w:eastAsia="仿宋_GB2312"/>
          <w:sz w:val="24"/>
        </w:rPr>
        <w:t>乙方：</w:t>
      </w:r>
    </w:p>
    <w:p w14:paraId="11B59A0C">
      <w:pPr>
        <w:spacing w:line="480" w:lineRule="exact"/>
        <w:rPr>
          <w:rFonts w:ascii="仿宋_GB2312" w:eastAsia="仿宋_GB2312"/>
          <w:sz w:val="24"/>
        </w:rPr>
      </w:pPr>
      <w:r>
        <w:rPr>
          <w:rFonts w:hint="eastAsia" w:ascii="仿宋_GB2312" w:eastAsia="仿宋_GB2312"/>
          <w:sz w:val="24"/>
        </w:rPr>
        <w:t>地址：</w:t>
      </w:r>
    </w:p>
    <w:p w14:paraId="1247A4F8">
      <w:pPr>
        <w:spacing w:line="480" w:lineRule="exact"/>
        <w:rPr>
          <w:rFonts w:ascii="仿宋_GB2312" w:eastAsia="仿宋_GB2312"/>
          <w:sz w:val="24"/>
        </w:rPr>
      </w:pPr>
      <w:r>
        <w:rPr>
          <w:rFonts w:hint="eastAsia" w:ascii="仿宋_GB2312" w:eastAsia="仿宋_GB2312"/>
          <w:sz w:val="24"/>
        </w:rPr>
        <w:t>法定代表人：</w:t>
      </w:r>
    </w:p>
    <w:p w14:paraId="34E6E603">
      <w:pPr>
        <w:spacing w:line="480" w:lineRule="exact"/>
        <w:rPr>
          <w:rFonts w:ascii="仿宋_GB2312" w:eastAsia="仿宋_GB2312"/>
          <w:sz w:val="24"/>
        </w:rPr>
      </w:pPr>
      <w:r>
        <w:rPr>
          <w:rFonts w:hint="eastAsia" w:ascii="仿宋_GB2312" w:eastAsia="仿宋_GB2312"/>
          <w:sz w:val="24"/>
        </w:rPr>
        <w:t>（以下简称乙方）</w:t>
      </w:r>
    </w:p>
    <w:p w14:paraId="7FFABEAB">
      <w:pPr>
        <w:spacing w:line="480" w:lineRule="exact"/>
        <w:rPr>
          <w:rFonts w:ascii="仿宋_GB2312" w:eastAsia="仿宋_GB2312"/>
          <w:sz w:val="24"/>
        </w:rPr>
      </w:pPr>
    </w:p>
    <w:p w14:paraId="1C6C89D2">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656072A6">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14:paraId="5D781AF3">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w:t>
      </w:r>
      <w:r>
        <w:rPr>
          <w:rFonts w:hint="eastAsia" w:ascii="仿宋_GB2312" w:eastAsia="仿宋_GB2312"/>
          <w:sz w:val="24"/>
          <w:lang w:val="en-US" w:eastAsia="zh-CN"/>
        </w:rPr>
        <w:t>东</w:t>
      </w:r>
      <w:r>
        <w:rPr>
          <w:rFonts w:hint="eastAsia" w:ascii="仿宋_GB2312" w:eastAsia="仿宋_GB2312"/>
          <w:sz w:val="24"/>
        </w:rPr>
        <w:t>区门店面积为 ㎡</w:t>
      </w:r>
      <w:r>
        <w:rPr>
          <w:rFonts w:hint="eastAsia" w:ascii="仿宋_GB2312" w:eastAsia="仿宋_GB2312"/>
          <w:sz w:val="24"/>
          <w:lang w:eastAsia="zh-CN"/>
        </w:rPr>
        <w:t>，</w:t>
      </w:r>
      <w:bookmarkStart w:id="2" w:name="_GoBack"/>
      <w:bookmarkEnd w:id="2"/>
      <w:r>
        <w:rPr>
          <w:rFonts w:hint="eastAsia" w:ascii="仿宋_GB2312" w:eastAsia="仿宋_GB2312"/>
          <w:sz w:val="24"/>
          <w:lang w:val="en-US" w:eastAsia="zh-CN"/>
        </w:rPr>
        <w:t>西</w:t>
      </w:r>
      <w:r>
        <w:rPr>
          <w:rFonts w:hint="eastAsia" w:ascii="仿宋_GB2312" w:eastAsia="仿宋_GB2312"/>
          <w:sz w:val="24"/>
        </w:rPr>
        <w:t>区门店面积为 ㎡），经营场地图纸作为合同附件。</w:t>
      </w:r>
    </w:p>
    <w:p w14:paraId="52D27471">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14:paraId="23781F6B">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069822D7">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w:t>
      </w:r>
      <w:r>
        <w:rPr>
          <w:rFonts w:hint="eastAsia" w:ascii="仿宋_GB2312" w:eastAsia="仿宋_GB2312"/>
          <w:sz w:val="24"/>
          <w:lang w:eastAsia="zh-CN"/>
        </w:rPr>
        <w:t>规定</w:t>
      </w:r>
      <w:r>
        <w:rPr>
          <w:rFonts w:hint="eastAsia" w:ascii="仿宋_GB2312" w:eastAsia="仿宋_GB2312"/>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14:paraId="3894912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14:paraId="462DB5FD">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r>
        <w:rPr>
          <w:rFonts w:hint="eastAsia" w:ascii="仿宋_GB2312" w:eastAsia="仿宋_GB2312"/>
          <w:sz w:val="24"/>
          <w:u w:val="single"/>
          <w:lang w:val="en-US" w:eastAsia="zh-CN"/>
        </w:rPr>
        <w:t xml:space="preserve">      </w:t>
      </w:r>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14:paraId="70C9B7AA">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102AB10D">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6F8E0912">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5ECF752D">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4CFEA418">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14:paraId="3C6C7F5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14:paraId="233D99E9">
      <w:pPr>
        <w:spacing w:line="460" w:lineRule="exact"/>
        <w:ind w:firstLine="480" w:firstLineChars="200"/>
        <w:rPr>
          <w:rFonts w:ascii="仿宋_GB2312" w:eastAsia="仿宋_GB2312"/>
          <w:sz w:val="24"/>
        </w:rPr>
      </w:pPr>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p>
    <w:p w14:paraId="4AC13A22">
      <w:pPr>
        <w:spacing w:line="460" w:lineRule="exact"/>
        <w:ind w:firstLine="480" w:firstLineChars="200"/>
        <w:rPr>
          <w:rFonts w:ascii="仿宋_GB2312" w:eastAsia="仿宋_GB2312"/>
          <w:sz w:val="24"/>
        </w:rPr>
      </w:pP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p>
    <w:p w14:paraId="273E2C35">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14:paraId="08720801">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hint="eastAsia" w:ascii="仿宋_GB2312" w:eastAsia="仿宋_GB2312"/>
          <w:sz w:val="24"/>
          <w:lang w:eastAsia="zh-CN"/>
        </w:rPr>
        <w:t>基准经营管理费</w:t>
      </w:r>
      <w:r>
        <w:rPr>
          <w:rFonts w:hint="eastAsia" w:ascii="仿宋_GB2312" w:eastAsia="仿宋_GB2312"/>
          <w:sz w:val="24"/>
        </w:rPr>
        <w:t>的5%折算；若乙方逾期开业超过15日的，甲方有权解除合同并要求乙方交还该物业，同时要求乙方支付第一个合同年度经营管理费标准1个月的</w:t>
      </w:r>
      <w:r>
        <w:rPr>
          <w:rFonts w:hint="eastAsia" w:ascii="仿宋_GB2312" w:eastAsia="仿宋_GB2312"/>
          <w:sz w:val="24"/>
          <w:lang w:eastAsia="zh-CN"/>
        </w:rPr>
        <w:t>基准经营管理费</w:t>
      </w:r>
      <w:r>
        <w:rPr>
          <w:rFonts w:hint="eastAsia" w:ascii="仿宋_GB2312" w:eastAsia="仿宋_GB2312"/>
          <w:sz w:val="24"/>
        </w:rPr>
        <w:t>作为违约金。</w:t>
      </w:r>
    </w:p>
    <w:p w14:paraId="4B050C9E">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yellow"/>
        </w:rPr>
        <w:t>特别</w:t>
      </w:r>
      <w:r>
        <w:rPr>
          <w:rFonts w:hint="eastAsia" w:ascii="仿宋_GB2312" w:eastAsia="仿宋_GB2312"/>
          <w:sz w:val="24"/>
          <w:highlight w:val="yellow"/>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224CDDF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14:paraId="75B9ED51">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1. 乙方应</w:t>
      </w:r>
      <w:r>
        <w:rPr>
          <w:rFonts w:hint="eastAsia" w:ascii="仿宋_GB2312" w:hAnsi="宋体" w:eastAsia="仿宋_GB2312"/>
          <w:sz w:val="24"/>
          <w:lang w:val="en-US" w:eastAsia="zh-CN"/>
        </w:rPr>
        <w:t>按“基准+超额”方式</w:t>
      </w:r>
      <w:r>
        <w:rPr>
          <w:rFonts w:hint="eastAsia" w:ascii="仿宋_GB2312" w:hAnsi="宋体" w:eastAsia="仿宋_GB2312"/>
          <w:sz w:val="24"/>
        </w:rPr>
        <w:t>向甲方支付经营管理费</w:t>
      </w:r>
      <w:r>
        <w:rPr>
          <w:rFonts w:hint="eastAsia" w:ascii="仿宋_GB2312" w:hAnsi="宋体" w:eastAsia="仿宋_GB2312"/>
          <w:sz w:val="24"/>
          <w:lang w:eastAsia="zh-CN"/>
        </w:rPr>
        <w:t>。</w:t>
      </w:r>
    </w:p>
    <w:p w14:paraId="19D0AE77">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lang w:val="en-US" w:eastAsia="zh-CN"/>
        </w:rPr>
        <w:t>结算方式为</w:t>
      </w:r>
      <w:r>
        <w:rPr>
          <w:rFonts w:hint="eastAsia" w:ascii="仿宋_GB2312" w:hAnsi="宋体" w:eastAsia="仿宋_GB2312"/>
          <w:sz w:val="24"/>
        </w:rPr>
        <w:t>：</w:t>
      </w:r>
      <w:r>
        <w:rPr>
          <w:rFonts w:hint="eastAsia" w:ascii="仿宋_GB2312" w:hAnsi="宋体" w:eastAsia="仿宋_GB2312"/>
          <w:sz w:val="24"/>
          <w:lang w:val="en-US" w:eastAsia="zh-CN"/>
        </w:rPr>
        <w:t>首年含税基准营业额为【】万，逐年递增【】%，若乙方年含税营业额在含税基准营业额（含）以内的，则向甲方按【】%支付</w:t>
      </w:r>
      <w:r>
        <w:rPr>
          <w:rFonts w:hint="eastAsia" w:ascii="仿宋_GB2312" w:hAnsi="仿宋_GB2312" w:eastAsia="仿宋_GB2312" w:cs="仿宋_GB2312"/>
          <w:bCs/>
          <w:sz w:val="24"/>
        </w:rPr>
        <w:t>年</w:t>
      </w:r>
      <w:r>
        <w:rPr>
          <w:rFonts w:hint="eastAsia" w:ascii="仿宋_GB2312" w:hAnsi="仿宋_GB2312" w:eastAsia="仿宋_GB2312" w:cs="仿宋_GB2312"/>
          <w:bCs/>
          <w:sz w:val="24"/>
          <w:lang w:val="en-US" w:eastAsia="zh-CN"/>
        </w:rPr>
        <w:t>基准</w:t>
      </w:r>
      <w:r>
        <w:rPr>
          <w:rFonts w:hint="eastAsia" w:ascii="仿宋_GB2312" w:hAnsi="仿宋_GB2312" w:eastAsia="仿宋_GB2312" w:cs="仿宋_GB2312"/>
          <w:bCs/>
          <w:sz w:val="24"/>
        </w:rPr>
        <w:t>经营管理费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如年含税营业额超</w:t>
      </w:r>
      <w:r>
        <w:rPr>
          <w:rFonts w:hint="eastAsia" w:ascii="仿宋_GB2312" w:hAnsi="仿宋_GB2312" w:eastAsia="仿宋_GB2312" w:cs="仿宋_GB2312"/>
          <w:bCs/>
          <w:sz w:val="24"/>
          <w:lang w:val="en-US" w:eastAsia="zh-CN"/>
        </w:rPr>
        <w:t>过基准营业额的</w:t>
      </w:r>
      <w:r>
        <w:rPr>
          <w:rFonts w:hint="eastAsia" w:ascii="仿宋_GB2312" w:hAnsi="仿宋_GB2312" w:eastAsia="仿宋_GB2312" w:cs="仿宋_GB2312"/>
          <w:bCs/>
          <w:sz w:val="24"/>
        </w:rPr>
        <w:t>，超额部分</w:t>
      </w:r>
      <w:r>
        <w:rPr>
          <w:rFonts w:hint="eastAsia" w:ascii="仿宋_GB2312" w:hAnsi="仿宋_GB2312" w:eastAsia="仿宋_GB2312" w:cs="仿宋_GB2312"/>
          <w:bCs/>
          <w:sz w:val="24"/>
          <w:lang w:val="en-US" w:eastAsia="zh-CN"/>
        </w:rPr>
        <w:t>乙方应</w:t>
      </w:r>
      <w:r>
        <w:rPr>
          <w:rFonts w:hint="eastAsia" w:ascii="仿宋_GB2312" w:hAnsi="仿宋_GB2312" w:eastAsia="仿宋_GB2312" w:cs="仿宋_GB2312"/>
          <w:bCs/>
          <w:sz w:val="24"/>
        </w:rPr>
        <w:t>按</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比例</w:t>
      </w:r>
      <w:r>
        <w:rPr>
          <w:rFonts w:hint="eastAsia" w:ascii="仿宋_GB2312" w:hAnsi="仿宋_GB2312" w:eastAsia="仿宋_GB2312" w:cs="仿宋_GB2312"/>
          <w:bCs/>
          <w:sz w:val="24"/>
          <w:lang w:val="en-US" w:eastAsia="zh-CN"/>
        </w:rPr>
        <w:t>向甲方支付超额</w:t>
      </w:r>
      <w:r>
        <w:rPr>
          <w:rFonts w:hint="eastAsia" w:ascii="仿宋_GB2312" w:hAnsi="仿宋_GB2312" w:eastAsia="仿宋_GB2312" w:cs="仿宋_GB2312"/>
          <w:bCs/>
          <w:sz w:val="24"/>
        </w:rPr>
        <w:t>经营管理费</w:t>
      </w:r>
      <w:r>
        <w:rPr>
          <w:rFonts w:hint="eastAsia" w:ascii="仿宋_GB2312" w:hAnsi="仿宋_GB2312" w:eastAsia="仿宋_GB2312" w:cs="仿宋_GB2312"/>
          <w:sz w:val="24"/>
        </w:rPr>
        <w:t>。一个合同年度按365天计算。</w:t>
      </w:r>
    </w:p>
    <w:p w14:paraId="655D4A70">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本合同项目经营期间经营管理费详见下表</w:t>
      </w:r>
      <w:r>
        <w:rPr>
          <w:rFonts w:hint="eastAsia" w:ascii="仿宋_GB2312" w:hAnsi="宋体" w:eastAsia="仿宋_GB2312"/>
          <w:sz w:val="24"/>
          <w:lang w:eastAsia="zh-CN"/>
        </w:rPr>
        <w:t>：</w:t>
      </w:r>
    </w:p>
    <w:tbl>
      <w:tblPr>
        <w:tblStyle w:val="10"/>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0ECC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2837D22C">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654B913D">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58D1EBC4">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6F87C9B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41A7936C">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310D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642BADF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US" w:eastAsia="zh-CN"/>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29573C9A">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5E1734C">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3F99914">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75C3586F">
            <w:pPr>
              <w:snapToGrid w:val="0"/>
              <w:spacing w:line="460" w:lineRule="exact"/>
              <w:jc w:val="center"/>
              <w:rPr>
                <w:rFonts w:ascii="仿宋_GB2312" w:hAnsi="宋体" w:eastAsia="仿宋_GB2312"/>
                <w:sz w:val="24"/>
              </w:rPr>
            </w:pPr>
          </w:p>
        </w:tc>
      </w:tr>
      <w:tr w14:paraId="321A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1DF280D6">
            <w:pPr>
              <w:snapToGrid w:val="0"/>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1EDAB968">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FE3575C">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09AF112">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411E3AA">
            <w:pPr>
              <w:snapToGrid w:val="0"/>
              <w:spacing w:line="460" w:lineRule="exact"/>
              <w:jc w:val="center"/>
              <w:rPr>
                <w:rFonts w:ascii="仿宋_GB2312" w:hAnsi="宋体" w:eastAsia="仿宋_GB2312"/>
                <w:sz w:val="24"/>
              </w:rPr>
            </w:pPr>
          </w:p>
        </w:tc>
      </w:tr>
    </w:tbl>
    <w:p w14:paraId="14A375BD">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甲方实行代收银管理方式，乙方所有含税营业额款项由乙方委托甲方代为收取，甲方在代收期间无需向乙方支付利息。每月末对当月营收款（上月26日</w:t>
      </w:r>
      <w:r>
        <w:rPr>
          <w:rFonts w:hint="eastAsia" w:ascii="仿宋_GB2312" w:hAnsi="宋体" w:eastAsia="仿宋_GB2312"/>
          <w:sz w:val="24"/>
          <w:lang w:val="en-GB" w:eastAsia="zh-CN"/>
        </w:rPr>
        <w:t>－</w:t>
      </w:r>
      <w:r>
        <w:rPr>
          <w:rFonts w:hint="eastAsia" w:ascii="仿宋_GB2312" w:hAnsi="宋体" w:eastAsia="仿宋_GB2312"/>
          <w:sz w:val="24"/>
          <w:lang w:val="en-GB"/>
        </w:rPr>
        <w:t>本月25日）实行累计滚动清算，具体清算原则如下：</w:t>
      </w:r>
    </w:p>
    <w:p w14:paraId="7458FB38">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GB"/>
        </w:rPr>
        <w:t>孰高计量收取，以倒扣方式执行，甲方应于下月10个工作日内结算返还乙方扣除经营管理费</w:t>
      </w:r>
      <w:r>
        <w:rPr>
          <w:rFonts w:hint="eastAsia" w:ascii="仿宋_GB2312" w:hAnsi="宋体" w:eastAsia="仿宋_GB2312"/>
          <w:sz w:val="24"/>
          <w:lang w:val="en-GB" w:eastAsia="zh-CN"/>
        </w:rPr>
        <w:t>、</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后的余款，当月实际含税营业额不足月均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时，不足部分乙方应于结算后的10个工作日内补齐支付。</w:t>
      </w:r>
    </w:p>
    <w:p w14:paraId="5252322F">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19F2A2F9">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含税营业额应包括：乙方在营业过程中消费者通过现金、刷卡、网络支付等方式或以团购、大众点评等第三方结算系统支付给乙方的全部营业收入，不扣除任何费用或税费。甲方可通过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105948FE">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w:t>
      </w:r>
      <w:r>
        <w:rPr>
          <w:rFonts w:hint="eastAsia" w:ascii="仿宋_GB2312" w:hAnsi="宋体" w:eastAsia="仿宋_GB2312"/>
          <w:sz w:val="24"/>
          <w:lang w:val="en-US" w:eastAsia="zh-CN"/>
        </w:rPr>
        <w:t>浙江商业集团</w:t>
      </w:r>
      <w:r>
        <w:rPr>
          <w:rFonts w:hint="eastAsia" w:ascii="仿宋_GB2312" w:hAnsi="宋体" w:eastAsia="仿宋_GB2312"/>
          <w:sz w:val="24"/>
        </w:rPr>
        <w:t>收银系统，且按甲方要求实现收银方式多样化，包括但不限于支付宝、微信、银行卡等支付方式，所有支付方式必须由</w:t>
      </w:r>
      <w:r>
        <w:rPr>
          <w:rFonts w:hint="eastAsia" w:ascii="仿宋_GB2312" w:hAnsi="宋体" w:eastAsia="仿宋_GB2312"/>
          <w:sz w:val="24"/>
          <w:lang w:eastAsia="zh-CN"/>
        </w:rPr>
        <w:t>浙江商业集团收银系统</w:t>
      </w:r>
      <w:r>
        <w:rPr>
          <w:rFonts w:hint="eastAsia" w:ascii="仿宋_GB2312" w:hAnsi="宋体" w:eastAsia="仿宋_GB2312"/>
          <w:sz w:val="24"/>
        </w:rPr>
        <w:t>统一实现，因此而产生的全部费用由乙方承担。乙方必须提供</w:t>
      </w:r>
      <w:r>
        <w:rPr>
          <w:rFonts w:hint="eastAsia" w:ascii="仿宋_GB2312" w:hAnsi="宋体" w:eastAsia="仿宋_GB2312"/>
          <w:sz w:val="24"/>
          <w:lang w:eastAsia="zh-CN"/>
        </w:rPr>
        <w:t>浙江商业集团收银系统</w:t>
      </w:r>
      <w:r>
        <w:rPr>
          <w:rFonts w:hint="eastAsia" w:ascii="仿宋_GB2312" w:hAnsi="宋体" w:eastAsia="仿宋_GB2312"/>
          <w:sz w:val="24"/>
        </w:rPr>
        <w:t>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0604A7C3">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27B4292A">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（含网络架设）需达到甲方规定标准后，才能正式开始营业。</w:t>
      </w:r>
    </w:p>
    <w:p w14:paraId="52D51C06">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735DD078">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lang w:val="en-US" w:eastAsia="zh-CN"/>
        </w:rPr>
        <w:t>3</w:t>
      </w:r>
      <w:r>
        <w:rPr>
          <w:rFonts w:hint="eastAsia" w:ascii="仿宋_GB2312" w:hAnsi="宋体" w:eastAsia="仿宋_GB2312"/>
          <w:sz w:val="24"/>
          <w:lang w:val="en-GB"/>
        </w:rPr>
        <w:t>次</w:t>
      </w:r>
      <w:r>
        <w:rPr>
          <w:rFonts w:hint="eastAsia" w:ascii="仿宋_GB2312" w:hAnsi="宋体" w:eastAsia="仿宋_GB2312"/>
          <w:sz w:val="24"/>
          <w:lang w:val="en-GB" w:eastAsia="zh-CN"/>
        </w:rPr>
        <w:t>（</w:t>
      </w:r>
      <w:r>
        <w:rPr>
          <w:rFonts w:hint="eastAsia" w:ascii="仿宋_GB2312" w:hAnsi="宋体" w:eastAsia="仿宋_GB2312"/>
          <w:sz w:val="24"/>
          <w:lang w:val="en-US" w:eastAsia="zh-CN"/>
        </w:rPr>
        <w:t>含3次</w:t>
      </w:r>
      <w:r>
        <w:rPr>
          <w:rFonts w:hint="eastAsia" w:ascii="仿宋_GB2312" w:hAnsi="宋体" w:eastAsia="仿宋_GB2312"/>
          <w:sz w:val="24"/>
          <w:lang w:val="en-GB" w:eastAsia="zh-CN"/>
        </w:rPr>
        <w:t>）</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lang w:val="en-US" w:eastAsia="zh-CN"/>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lang w:val="en-US" w:eastAsia="zh-CN"/>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1477B63E">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14:paraId="4F954E7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58EDF201">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4C9242B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1CC81C4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42638EB7">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0721BA7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1758FB7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66B759D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06E9630A">
      <w:pPr>
        <w:spacing w:line="460" w:lineRule="exact"/>
        <w:ind w:firstLine="480" w:firstLineChars="200"/>
        <w:rPr>
          <w:rFonts w:hint="default" w:ascii="仿宋_GB2312" w:eastAsia="仿宋_GB2312"/>
          <w:b/>
          <w:sz w:val="24"/>
          <w:lang w:val="en-US" w:eastAsia="zh-CN"/>
        </w:rPr>
      </w:pPr>
      <w:r>
        <w:rPr>
          <w:rFonts w:hint="eastAsia" w:ascii="黑体" w:hAnsi="黑体" w:eastAsia="黑体" w:cs="黑体"/>
          <w:b w:val="0"/>
          <w:bCs/>
          <w:sz w:val="24"/>
        </w:rPr>
        <w:t>六、能源管理费及物业管理费</w:t>
      </w:r>
    </w:p>
    <w:p w14:paraId="79ECFE32">
      <w:p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（一）能源管理费</w:t>
      </w:r>
    </w:p>
    <w:p w14:paraId="2E355479">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14:paraId="3B1D4315">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3BA2BF41">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450464FD">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14B07A5A">
      <w:pPr>
        <w:numPr>
          <w:ilvl w:val="-1"/>
          <w:numId w:val="0"/>
        </w:num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二</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物业管理费</w:t>
      </w:r>
    </w:p>
    <w:p w14:paraId="2E4415FB">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410A0F92">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w:t>
      </w:r>
      <w:r>
        <w:rPr>
          <w:rFonts w:hint="eastAsia" w:ascii="仿宋_GB2312" w:hAnsi="宋体" w:eastAsia="仿宋_GB2312"/>
          <w:sz w:val="24"/>
          <w:lang w:val="en-US" w:eastAsia="zh-CN"/>
        </w:rPr>
        <w:t>在实施代收代付管理清算经营管理费时一并扣除</w:t>
      </w:r>
      <w:r>
        <w:rPr>
          <w:rFonts w:hint="eastAsia" w:ascii="仿宋_GB2312" w:hAnsi="宋体" w:eastAsia="仿宋_GB2312"/>
          <w:sz w:val="24"/>
        </w:rPr>
        <w:t>。</w:t>
      </w:r>
    </w:p>
    <w:p w14:paraId="2385E9E5">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14:paraId="12FC9111">
      <w:pPr>
        <w:pStyle w:val="8"/>
        <w:keepNext w:val="0"/>
        <w:keepLines w:val="0"/>
        <w:widowControl/>
        <w:suppressLineNumbers w:val="0"/>
        <w:spacing w:before="75" w:beforeAutospacing="0" w:after="75" w:afterAutospacing="0"/>
        <w:ind w:left="0" w:right="0" w:firstLine="420"/>
        <w:jc w:val="both"/>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w:t>
      </w:r>
      <w:r>
        <w:rPr>
          <w:rFonts w:hint="eastAsia" w:ascii="仿宋_GB2312" w:eastAsia="仿宋_GB2312"/>
          <w:sz w:val="24"/>
          <w:highlight w:val="yellow"/>
        </w:rPr>
        <w:t>【第一年度</w:t>
      </w:r>
      <w:r>
        <w:rPr>
          <w:rFonts w:hint="eastAsia" w:ascii="仿宋_GB2312" w:eastAsia="仿宋_GB2312"/>
          <w:color w:val="C00000"/>
          <w:sz w:val="24"/>
          <w:highlight w:val="yellow"/>
          <w:lang w:val="en-US" w:eastAsia="zh-CN"/>
        </w:rPr>
        <w:t>1</w:t>
      </w:r>
      <w:r>
        <w:rPr>
          <w:rFonts w:hint="eastAsia" w:ascii="仿宋_GB2312" w:eastAsia="仿宋_GB2312"/>
          <w:color w:val="C00000"/>
          <w:sz w:val="24"/>
          <w:highlight w:val="yellow"/>
        </w:rPr>
        <w:t>个月</w:t>
      </w:r>
      <w:r>
        <w:rPr>
          <w:rFonts w:hint="eastAsia" w:ascii="仿宋_GB2312" w:eastAsia="仿宋_GB2312"/>
          <w:sz w:val="24"/>
          <w:highlight w:val="yellow"/>
        </w:rPr>
        <w:t>的</w:t>
      </w:r>
      <w:r>
        <w:rPr>
          <w:rFonts w:hint="eastAsia" w:ascii="仿宋_GB2312" w:eastAsia="仿宋_GB2312"/>
          <w:sz w:val="24"/>
          <w:highlight w:val="yellow"/>
          <w:lang w:eastAsia="zh-CN"/>
        </w:rPr>
        <w:t>基准经营管理费；</w:t>
      </w:r>
      <w:r>
        <w:rPr>
          <w:rFonts w:hint="eastAsia" w:ascii="仿宋_GB2312" w:hAnsi="仿宋_GB2312" w:eastAsia="仿宋_GB2312" w:cs="仿宋_GB2312"/>
          <w:i w:val="0"/>
          <w:iCs w:val="0"/>
          <w:caps w:val="0"/>
          <w:color w:val="000000"/>
          <w:spacing w:val="0"/>
          <w:sz w:val="24"/>
          <w:szCs w:val="24"/>
          <w:highlight w:val="yellow"/>
        </w:rPr>
        <w:t>若项目基准经营管理费超200万元（含）的，则按基准经营管理费的8%缴纳履约保证金</w:t>
      </w:r>
      <w:r>
        <w:rPr>
          <w:rFonts w:hint="eastAsia" w:ascii="仿宋_GB2312" w:eastAsia="仿宋_GB2312"/>
          <w:sz w:val="24"/>
          <w:highlight w:val="yellow"/>
        </w:rPr>
        <w:t>】</w:t>
      </w:r>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11FCE03E">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14:paraId="6BDF65F6">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09689E10">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20DC75B9">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14:paraId="376F533D">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1B9EC58E">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422217F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14:paraId="4FB74560">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58EDAF8B">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69D277B7">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14E1268A">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24CA795A">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33D446BF">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57E1C532">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34FDD2FE">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014FD9C9">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07D24374">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1CAE0369">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03374E7A">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4E8CE1FA">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0607886B">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0675C0CB">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322548BB">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1A327046">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A222FF9">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1A2BF001">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62573BC5">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7CA2C0">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4B469D4B">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008CF40E">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20422246">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73DC58D0">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hint="eastAsia" w:ascii="仿宋_GB2312" w:eastAsia="仿宋_GB2312"/>
          <w:sz w:val="24"/>
          <w:lang w:val="en-US" w:eastAsia="zh-CN"/>
        </w:rPr>
        <w:t>7天</w:t>
      </w:r>
      <w:r>
        <w:rPr>
          <w:rFonts w:hint="eastAsia" w:ascii="仿宋_GB2312" w:eastAsia="仿宋_GB2312"/>
          <w:sz w:val="24"/>
        </w:rPr>
        <w:t>内将有关保单及已付保费凭证等证明文件呈交甲方审核备案。同时，该等保险应当在合同期限内持续有效。</w:t>
      </w:r>
    </w:p>
    <w:p w14:paraId="25D69567">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2C1476D3">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2CE42838">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09744921">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38F580ED">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6124E671">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14:paraId="01246A4C">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14:paraId="77694C3F">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14:paraId="1F12AA34">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300C5E55">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14:paraId="1E925C3F">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14:paraId="7E8CD923">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14:paraId="5D885CE0">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14:paraId="784E8786">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14:paraId="60E0A56C">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512B4B7C">
      <w:pPr>
        <w:spacing w:line="460" w:lineRule="exact"/>
        <w:ind w:firstLine="480" w:firstLineChars="200"/>
        <w:rPr>
          <w:rFonts w:hint="eastAsia" w:ascii="仿宋_GB2312" w:eastAsia="仿宋_GB2312"/>
          <w:sz w:val="24"/>
          <w:lang w:val="en-US" w:eastAsia="zh-CN"/>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val="en-US" w:eastAsia="zh-CN"/>
        </w:rPr>
        <w:t>。</w:t>
      </w:r>
    </w:p>
    <w:p w14:paraId="3809FD61">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14:paraId="59DD8F12">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r>
        <w:rPr>
          <w:rFonts w:hint="eastAsia" w:ascii="仿宋_GB2312" w:eastAsia="仿宋_GB2312"/>
          <w:sz w:val="24"/>
          <w:lang w:eastAsia="zh-CN"/>
        </w:rPr>
        <w:t>。</w:t>
      </w:r>
    </w:p>
    <w:p w14:paraId="3650801D">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14:paraId="7181724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14:paraId="168622F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14:paraId="6BCC88D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14:paraId="352FB82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14:paraId="3B6C142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14:paraId="114442CB">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14:paraId="786AF2D5">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14:paraId="5B30B4F8">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14:paraId="00A079DE">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w:t>
      </w:r>
      <w:r>
        <w:rPr>
          <w:rFonts w:hint="eastAsia" w:ascii="仿宋_GB2312" w:eastAsia="仿宋_GB2312"/>
          <w:sz w:val="24"/>
          <w:lang w:eastAsia="zh-CN"/>
        </w:rPr>
        <w:t>用其他手段</w:t>
      </w:r>
      <w:r>
        <w:rPr>
          <w:rFonts w:hint="eastAsia" w:ascii="仿宋_GB2312" w:eastAsia="仿宋_GB2312"/>
          <w:sz w:val="24"/>
        </w:rPr>
        <w:t>与第三方共同经营时</w:t>
      </w:r>
      <w:r>
        <w:rPr>
          <w:rFonts w:hint="eastAsia" w:ascii="仿宋_GB2312" w:eastAsia="仿宋_GB2312"/>
          <w:sz w:val="24"/>
          <w:lang w:eastAsia="zh-CN"/>
        </w:rPr>
        <w:t>。</w:t>
      </w:r>
    </w:p>
    <w:p w14:paraId="7B531F6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r>
        <w:rPr>
          <w:rFonts w:hint="eastAsia" w:ascii="仿宋_GB2312" w:eastAsia="仿宋_GB2312"/>
          <w:sz w:val="24"/>
          <w:lang w:eastAsia="zh-CN"/>
        </w:rPr>
        <w:t>。</w:t>
      </w:r>
    </w:p>
    <w:p w14:paraId="1CD3B204">
      <w:pPr>
        <w:widowControl/>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其他合同注明的应纳入黑名单制度的情况。</w:t>
      </w:r>
    </w:p>
    <w:p w14:paraId="3EC4B049">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67197B2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14:paraId="5CB8AC24">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14:paraId="4790CF88">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14:paraId="57E528D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14:paraId="208FCA5B">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14:paraId="0B9DD4BA">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14:paraId="4B7EE653">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14:paraId="755DF9A1">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14:paraId="4475A71F">
      <w:pPr>
        <w:spacing w:line="460" w:lineRule="exact"/>
        <w:ind w:firstLine="480" w:firstLineChars="200"/>
        <w:rPr>
          <w:rFonts w:ascii="仿宋_GB2312" w:eastAsia="仿宋_GB2312"/>
          <w:b w:val="0"/>
          <w:bCs/>
          <w:sz w:val="24"/>
        </w:rPr>
      </w:pPr>
      <w:r>
        <w:rPr>
          <w:rFonts w:hint="eastAsia" w:ascii="仿宋_GB2312" w:eastAsia="仿宋_GB2312"/>
          <w:b w:val="0"/>
          <w:bCs/>
          <w:sz w:val="24"/>
        </w:rPr>
        <w:t>3.</w:t>
      </w:r>
      <w:r>
        <w:rPr>
          <w:rFonts w:ascii="仿宋_GB2312" w:eastAsia="仿宋_GB2312"/>
          <w:b w:val="0"/>
          <w:bCs/>
          <w:sz w:val="24"/>
        </w:rPr>
        <w:t xml:space="preserve"> </w:t>
      </w:r>
      <w:r>
        <w:rPr>
          <w:rFonts w:hint="eastAsia" w:ascii="仿宋_GB2312" w:eastAsia="仿宋_GB2312"/>
          <w:b w:val="0"/>
          <w:bCs/>
          <w:sz w:val="24"/>
        </w:rPr>
        <w:t>因甲方或上级单位发展战略调整、政府行为等原因需提前与乙方解除合同的，甲方可经提前一个月书面通知乙方解除本合同。</w:t>
      </w:r>
    </w:p>
    <w:p w14:paraId="14B46DF1">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中标单位中标进场后，不得随意撤场。确因经营不善需提前撤场的，必须在竞标项目经营满6个月后方可提出撤场申请，且撤场申请应提前3个月提出或一次性缴纳三个月经营管理费，即撤场时应保证已经营满9个月或已经营满6个月并已缴纳后3个月经营管理费；准，乙方予以认可）。</w:t>
      </w:r>
    </w:p>
    <w:p w14:paraId="041693A7">
      <w:pPr>
        <w:numPr>
          <w:ilvl w:val="0"/>
          <w:numId w:val="2"/>
        </w:numPr>
        <w:spacing w:line="460" w:lineRule="exact"/>
        <w:ind w:firstLine="480" w:firstLineChars="200"/>
        <w:rPr>
          <w:rFonts w:ascii="仿宋_GB2312" w:eastAsia="仿宋_GB2312"/>
          <w:b w:val="0"/>
          <w:bCs/>
          <w:sz w:val="24"/>
          <w:highlight w:val="none"/>
        </w:rPr>
      </w:pPr>
      <w:r>
        <w:rPr>
          <w:rFonts w:hint="eastAsia" w:ascii="仿宋_GB2312" w:eastAsia="仿宋_GB2312"/>
          <w:b w:val="0"/>
          <w:bCs/>
          <w:sz w:val="24"/>
          <w:highlight w:val="none"/>
        </w:rPr>
        <w:t>乙方经营项目满</w:t>
      </w:r>
      <w:r>
        <w:rPr>
          <w:rFonts w:hint="eastAsia" w:ascii="仿宋_GB2312" w:eastAsia="仿宋_GB2312"/>
          <w:b w:val="0"/>
          <w:bCs/>
          <w:sz w:val="24"/>
          <w:highlight w:val="none"/>
          <w:lang w:val="en-US" w:eastAsia="zh-CN"/>
        </w:rPr>
        <w:t>9</w:t>
      </w:r>
      <w:r>
        <w:rPr>
          <w:rFonts w:hint="eastAsia" w:ascii="仿宋_GB2312" w:eastAsia="仿宋_GB2312"/>
          <w:b w:val="0"/>
          <w:bCs/>
          <w:sz w:val="24"/>
          <w:highlight w:val="none"/>
        </w:rPr>
        <w:t>个月后方可提出撤场申请，且撤场申请应提前3个月提出或一次性缴纳三个月经营管理费，即撤场时应保证已经营满9个月或已经营满6个月并已缴纳后3个月经营管理费的，允许正常退场。对于实际经营满</w:t>
      </w:r>
      <w:r>
        <w:rPr>
          <w:rFonts w:hint="eastAsia" w:ascii="仿宋_GB2312" w:eastAsia="仿宋_GB2312"/>
          <w:b w:val="0"/>
          <w:bCs/>
          <w:sz w:val="24"/>
          <w:highlight w:val="none"/>
          <w:lang w:val="en-US" w:eastAsia="zh-CN"/>
        </w:rPr>
        <w:t>9</w:t>
      </w:r>
      <w:r>
        <w:rPr>
          <w:rFonts w:hint="eastAsia" w:ascii="仿宋_GB2312" w:eastAsia="仿宋_GB2312"/>
          <w:b w:val="0"/>
          <w:bCs/>
          <w:sz w:val="24"/>
          <w:highlight w:val="none"/>
        </w:rPr>
        <w:t>个月、且已提前3个月向甲方提交书面申请</w:t>
      </w:r>
      <w:r>
        <w:rPr>
          <w:rFonts w:hint="eastAsia" w:ascii="仿宋_GB2312" w:eastAsia="仿宋_GB2312"/>
          <w:b w:val="0"/>
          <w:bCs/>
          <w:sz w:val="24"/>
          <w:highlight w:val="none"/>
          <w:lang w:eastAsia="zh-CN"/>
        </w:rPr>
        <w:t>（</w:t>
      </w:r>
      <w:r>
        <w:rPr>
          <w:rFonts w:hint="eastAsia" w:ascii="仿宋_GB2312" w:eastAsia="仿宋_GB2312"/>
          <w:b w:val="0"/>
          <w:bCs/>
          <w:sz w:val="24"/>
          <w:highlight w:val="none"/>
        </w:rPr>
        <w:t>或愿意缴纳3个月经营管理费等</w:t>
      </w:r>
      <w:r>
        <w:rPr>
          <w:rFonts w:hint="eastAsia" w:ascii="仿宋_GB2312" w:eastAsia="仿宋_GB2312"/>
          <w:b w:val="0"/>
          <w:bCs/>
          <w:sz w:val="24"/>
          <w:highlight w:val="none"/>
          <w:lang w:eastAsia="zh-CN"/>
        </w:rPr>
        <w:t>）</w:t>
      </w:r>
      <w:r>
        <w:rPr>
          <w:rFonts w:hint="eastAsia" w:ascii="仿宋_GB2312" w:eastAsia="仿宋_GB2312"/>
          <w:b w:val="0"/>
          <w:bCs/>
          <w:sz w:val="24"/>
          <w:highlight w:val="none"/>
          <w:lang w:val="en-US" w:eastAsia="zh-CN"/>
        </w:rPr>
        <w:t>的项目</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1836DC13">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3F894FB">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基准经营管理费</w:t>
      </w:r>
      <w:r>
        <w:rPr>
          <w:rFonts w:hint="eastAsia" w:ascii="仿宋_GB2312" w:hAnsi="宋体" w:eastAsia="仿宋_GB2312"/>
          <w:sz w:val="24"/>
        </w:rPr>
        <w:t>的双倍支付甲方违约金，且甲方有权直接从履约保证金中扣除相应款项。</w:t>
      </w:r>
    </w:p>
    <w:p w14:paraId="40B46745">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11C56451">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44FF825F">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4509E1AB">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03F80CAB">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0A9812A6">
      <w:pPr>
        <w:numPr>
          <w:ilvl w:val="0"/>
          <w:numId w:val="3"/>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7ED78937">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320FF74F">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53A4D0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14:paraId="7BF5A952">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6B94DB4E">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2DAE575E">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基准经营管理费</w:t>
      </w:r>
      <w:r>
        <w:rPr>
          <w:rFonts w:hint="eastAsia" w:ascii="仿宋_GB2312" w:eastAsia="仿宋_GB2312"/>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6B3FBC8E">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30393B51">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67F410A3">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4E0E65D">
      <w:pPr>
        <w:numPr>
          <w:ilvl w:val="0"/>
          <w:numId w:val="4"/>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4D6FE4A9">
      <w:pPr>
        <w:numPr>
          <w:ilvl w:val="0"/>
          <w:numId w:val="4"/>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282D2101">
      <w:pPr>
        <w:numPr>
          <w:ilvl w:val="0"/>
          <w:numId w:val="4"/>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40DCC310">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4E8FDA6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14:paraId="1CF81EF9">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0887D648">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6A6D131A">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14:paraId="4B710452">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481C3D87">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14:paraId="1E36C464">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07A6C554">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0BF1757C">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331CD8B5">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3FEF645D">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24992318">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14:paraId="4BA2AF7B">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72C2B8E3">
      <w:pPr>
        <w:spacing w:line="460" w:lineRule="exact"/>
        <w:ind w:firstLine="480" w:firstLineChars="200"/>
        <w:rPr>
          <w:rFonts w:ascii="仿宋_GB2312" w:eastAsia="仿宋_GB2312"/>
          <w:sz w:val="24"/>
        </w:rPr>
      </w:pPr>
      <w:r>
        <w:rPr>
          <w:rFonts w:hint="eastAsia" w:ascii="仿宋_GB2312" w:eastAsia="仿宋_GB2312"/>
          <w:sz w:val="24"/>
        </w:rPr>
        <w:t>电子邮箱：</w:t>
      </w:r>
    </w:p>
    <w:p w14:paraId="44A8AB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14:paraId="4E3413B2">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sz w:val="24"/>
          <w:lang w:eastAsia="zh-CN"/>
        </w:rPr>
        <w:t>本合同一式四份</w:t>
      </w:r>
      <w:r>
        <w:rPr>
          <w:rFonts w:hint="eastAsia" w:ascii="仿宋_GB2312" w:eastAsia="仿宋_GB2312"/>
          <w:sz w:val="24"/>
        </w:rPr>
        <w:t>，甲、乙双方各执两份，每份具有同等法律效力。</w:t>
      </w:r>
    </w:p>
    <w:p w14:paraId="7092E78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7EAC4308">
      <w:pPr>
        <w:numPr>
          <w:ilvl w:val="0"/>
          <w:numId w:val="5"/>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198CFF4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0D1C73BF">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64DF1220">
      <w:pPr>
        <w:adjustRightInd w:val="0"/>
        <w:snapToGrid w:val="0"/>
        <w:spacing w:line="360" w:lineRule="auto"/>
        <w:rPr>
          <w:rFonts w:hint="eastAsia" w:ascii="仿宋_GB2312" w:hAnsi="宋体" w:eastAsia="仿宋_GB2312"/>
          <w:sz w:val="24"/>
          <w:lang w:val="en-GB"/>
        </w:rPr>
      </w:pPr>
      <w:r>
        <w:rPr>
          <w:rFonts w:hint="eastAsia" w:ascii="仿宋_GB2312" w:hAnsi="宋体" w:eastAsia="仿宋_GB2312"/>
          <w:sz w:val="24"/>
          <w:lang w:val="en-GB"/>
        </w:rPr>
        <w:t>（以下无正文）</w:t>
      </w:r>
    </w:p>
    <w:p w14:paraId="01FCE0CE">
      <w:pPr>
        <w:adjustRightInd w:val="0"/>
        <w:snapToGrid w:val="0"/>
        <w:spacing w:line="360" w:lineRule="auto"/>
        <w:rPr>
          <w:rFonts w:hint="eastAsia" w:ascii="仿宋_GB2312" w:hAnsi="宋体" w:eastAsia="仿宋_GB2312"/>
          <w:sz w:val="24"/>
          <w:lang w:val="en-GB"/>
        </w:rPr>
      </w:pPr>
    </w:p>
    <w:p w14:paraId="72C6F1A0">
      <w:pPr>
        <w:adjustRightInd w:val="0"/>
        <w:snapToGrid w:val="0"/>
        <w:spacing w:line="360" w:lineRule="auto"/>
        <w:rPr>
          <w:rFonts w:hint="eastAsia" w:ascii="仿宋_GB2312" w:hAnsi="宋体" w:eastAsia="仿宋_GB2312"/>
          <w:sz w:val="24"/>
          <w:lang w:val="en-GB"/>
        </w:rPr>
      </w:pPr>
    </w:p>
    <w:p w14:paraId="32E6D7EE">
      <w:pPr>
        <w:adjustRightInd w:val="0"/>
        <w:snapToGrid w:val="0"/>
        <w:spacing w:line="360" w:lineRule="auto"/>
        <w:rPr>
          <w:rFonts w:hint="eastAsia" w:ascii="仿宋_GB2312" w:hAnsi="宋体" w:eastAsia="仿宋_GB2312"/>
          <w:sz w:val="24"/>
          <w:lang w:val="en-GB"/>
        </w:rPr>
      </w:pPr>
    </w:p>
    <w:p w14:paraId="7B03C4E0">
      <w:pPr>
        <w:adjustRightInd w:val="0"/>
        <w:snapToGrid w:val="0"/>
        <w:spacing w:line="360" w:lineRule="auto"/>
        <w:rPr>
          <w:rFonts w:hint="eastAsia" w:ascii="仿宋_GB2312" w:hAnsi="宋体" w:eastAsia="仿宋_GB2312"/>
          <w:sz w:val="24"/>
          <w:lang w:val="en-GB"/>
        </w:rPr>
      </w:pPr>
    </w:p>
    <w:p w14:paraId="2AC4FD95">
      <w:pPr>
        <w:adjustRightInd w:val="0"/>
        <w:snapToGrid w:val="0"/>
        <w:spacing w:line="360" w:lineRule="auto"/>
        <w:rPr>
          <w:rFonts w:hint="eastAsia" w:ascii="仿宋_GB2312" w:hAnsi="宋体" w:eastAsia="仿宋_GB2312"/>
          <w:sz w:val="24"/>
          <w:lang w:val="en-GB"/>
        </w:rPr>
      </w:pPr>
    </w:p>
    <w:p w14:paraId="58442896">
      <w:pPr>
        <w:adjustRightInd w:val="0"/>
        <w:snapToGrid w:val="0"/>
        <w:spacing w:line="360" w:lineRule="auto"/>
        <w:rPr>
          <w:rFonts w:hint="eastAsia" w:ascii="仿宋_GB2312" w:hAnsi="宋体" w:eastAsia="仿宋_GB2312"/>
          <w:sz w:val="24"/>
          <w:lang w:val="en-GB"/>
        </w:rPr>
      </w:pPr>
    </w:p>
    <w:p w14:paraId="2CBE35AE">
      <w:pPr>
        <w:adjustRightInd w:val="0"/>
        <w:snapToGrid w:val="0"/>
        <w:spacing w:line="360" w:lineRule="auto"/>
        <w:rPr>
          <w:rFonts w:hint="eastAsia" w:ascii="仿宋_GB2312" w:hAnsi="宋体" w:eastAsia="仿宋_GB2312"/>
          <w:sz w:val="24"/>
          <w:lang w:val="en-GB"/>
        </w:rPr>
      </w:pPr>
    </w:p>
    <w:p w14:paraId="5C790CA9">
      <w:pPr>
        <w:adjustRightInd w:val="0"/>
        <w:snapToGrid w:val="0"/>
        <w:spacing w:line="360" w:lineRule="auto"/>
        <w:rPr>
          <w:rFonts w:hint="eastAsia" w:ascii="仿宋_GB2312" w:hAnsi="宋体" w:eastAsia="仿宋_GB2312"/>
          <w:sz w:val="24"/>
          <w:lang w:val="en-GB"/>
        </w:rPr>
      </w:pPr>
    </w:p>
    <w:p w14:paraId="380F2442">
      <w:pPr>
        <w:adjustRightInd w:val="0"/>
        <w:snapToGrid w:val="0"/>
        <w:spacing w:line="360" w:lineRule="auto"/>
        <w:rPr>
          <w:rFonts w:hint="eastAsia" w:ascii="仿宋_GB2312" w:hAnsi="宋体" w:eastAsia="仿宋_GB2312"/>
          <w:sz w:val="24"/>
          <w:lang w:val="en-GB"/>
        </w:rPr>
      </w:pPr>
    </w:p>
    <w:p w14:paraId="736DE140">
      <w:pPr>
        <w:adjustRightInd w:val="0"/>
        <w:snapToGrid w:val="0"/>
        <w:spacing w:line="360" w:lineRule="auto"/>
        <w:rPr>
          <w:rFonts w:hint="eastAsia" w:ascii="仿宋_GB2312" w:hAnsi="宋体" w:eastAsia="仿宋_GB2312"/>
          <w:sz w:val="24"/>
          <w:lang w:val="en-GB"/>
        </w:rPr>
      </w:pPr>
    </w:p>
    <w:p w14:paraId="061770B2">
      <w:pPr>
        <w:adjustRightInd w:val="0"/>
        <w:snapToGrid w:val="0"/>
        <w:spacing w:line="360" w:lineRule="auto"/>
        <w:rPr>
          <w:rFonts w:hint="eastAsia" w:ascii="仿宋_GB2312" w:hAnsi="宋体" w:eastAsia="仿宋_GB2312"/>
          <w:sz w:val="24"/>
          <w:lang w:val="en-GB"/>
        </w:rPr>
      </w:pPr>
    </w:p>
    <w:p w14:paraId="2C952CC2">
      <w:pPr>
        <w:adjustRightInd w:val="0"/>
        <w:snapToGrid w:val="0"/>
        <w:spacing w:line="360" w:lineRule="auto"/>
        <w:rPr>
          <w:rFonts w:hint="eastAsia" w:ascii="仿宋_GB2312" w:hAnsi="宋体" w:eastAsia="仿宋_GB2312"/>
          <w:sz w:val="24"/>
          <w:lang w:val="en-GB"/>
        </w:rPr>
      </w:pPr>
    </w:p>
    <w:p w14:paraId="79B57FD8">
      <w:pPr>
        <w:adjustRightInd w:val="0"/>
        <w:snapToGrid w:val="0"/>
        <w:spacing w:line="360" w:lineRule="auto"/>
        <w:rPr>
          <w:rFonts w:hint="eastAsia" w:ascii="仿宋_GB2312" w:hAnsi="宋体" w:eastAsia="仿宋_GB2312"/>
          <w:sz w:val="24"/>
          <w:lang w:val="en-GB"/>
        </w:rPr>
      </w:pPr>
    </w:p>
    <w:p w14:paraId="542A2408">
      <w:pPr>
        <w:adjustRightInd w:val="0"/>
        <w:snapToGrid w:val="0"/>
        <w:spacing w:line="360" w:lineRule="auto"/>
        <w:rPr>
          <w:rFonts w:hint="eastAsia" w:ascii="仿宋_GB2312" w:hAnsi="宋体" w:eastAsia="仿宋_GB2312"/>
          <w:sz w:val="24"/>
          <w:lang w:val="en-GB"/>
        </w:rPr>
      </w:pPr>
    </w:p>
    <w:p w14:paraId="3F4ADCE7">
      <w:pPr>
        <w:adjustRightInd w:val="0"/>
        <w:snapToGrid w:val="0"/>
        <w:spacing w:line="360" w:lineRule="auto"/>
        <w:rPr>
          <w:rFonts w:hint="eastAsia" w:ascii="仿宋_GB2312" w:hAnsi="宋体" w:eastAsia="仿宋_GB2312"/>
          <w:sz w:val="24"/>
          <w:lang w:val="en-GB"/>
        </w:rPr>
      </w:pPr>
    </w:p>
    <w:p w14:paraId="494BD9DD">
      <w:pPr>
        <w:adjustRightInd w:val="0"/>
        <w:snapToGrid w:val="0"/>
        <w:spacing w:line="360" w:lineRule="auto"/>
        <w:rPr>
          <w:rFonts w:hint="eastAsia" w:ascii="仿宋_GB2312" w:hAnsi="宋体" w:eastAsia="仿宋_GB2312"/>
          <w:sz w:val="24"/>
          <w:lang w:val="en-GB"/>
        </w:rPr>
      </w:pPr>
    </w:p>
    <w:p w14:paraId="4264AA4A">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16886D1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2BFCF4FF">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423C2742">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7B8CA81F">
      <w:pPr>
        <w:adjustRightInd w:val="0"/>
        <w:snapToGrid w:val="0"/>
        <w:spacing w:line="360" w:lineRule="auto"/>
        <w:rPr>
          <w:rFonts w:ascii="仿宋_GB2312" w:hAnsi="宋体" w:eastAsia="仿宋_GB2312"/>
          <w:sz w:val="24"/>
          <w:lang w:val="en-GB"/>
        </w:rPr>
      </w:pPr>
    </w:p>
    <w:p w14:paraId="5BD834F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3E9B10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3D6960F9">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60392A58">
      <w:pPr>
        <w:snapToGrid/>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724B84ED">
      <w:pPr>
        <w:widowControl/>
        <w:jc w:val="left"/>
        <w:rPr>
          <w:rFonts w:ascii="仿宋_GB2312" w:hAnsi="宋体" w:eastAsia="仿宋_GB2312"/>
          <w:sz w:val="24"/>
          <w:lang w:val="en-GB"/>
        </w:rPr>
      </w:pPr>
    </w:p>
    <w:p w14:paraId="0497219E">
      <w:pPr>
        <w:widowControl/>
        <w:jc w:val="left"/>
        <w:rPr>
          <w:rFonts w:ascii="仿宋_GB2312" w:hAnsi="宋体" w:eastAsia="仿宋_GB2312"/>
          <w:sz w:val="24"/>
          <w:lang w:val="en-GB"/>
        </w:rPr>
      </w:pPr>
    </w:p>
    <w:p w14:paraId="3B9F2F5C">
      <w:pPr>
        <w:widowControl/>
        <w:jc w:val="left"/>
        <w:rPr>
          <w:rFonts w:ascii="仿宋_GB2312" w:hAnsi="宋体" w:eastAsia="仿宋_GB2312"/>
          <w:sz w:val="24"/>
          <w:lang w:val="en-GB"/>
        </w:rPr>
      </w:pPr>
    </w:p>
    <w:p w14:paraId="25D8D2E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4E49CA29">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41946500">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642635DF">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14:paraId="5F8AEA54">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79EF8FE9">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04717DE9">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7FB8DAD8">
      <w:pPr>
        <w:rPr>
          <w:rFonts w:ascii="仿宋_GB2312" w:hAnsi="宋体" w:eastAsia="仿宋_GB2312"/>
          <w:sz w:val="24"/>
        </w:rPr>
      </w:pPr>
      <w:r>
        <w:rPr>
          <w:rFonts w:hint="eastAsia" w:ascii="仿宋_GB2312" w:hAnsi="宋体" w:eastAsia="仿宋_GB2312"/>
          <w:sz w:val="24"/>
        </w:rPr>
        <w:br w:type="page"/>
      </w:r>
    </w:p>
    <w:p w14:paraId="10314BEE">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0AE63BC2">
      <w:pPr>
        <w:rPr>
          <w:rFonts w:ascii="仿宋_GB2312" w:hAnsi="宋体" w:eastAsia="仿宋_GB2312"/>
          <w:sz w:val="24"/>
          <w:lang w:val="en-GB"/>
        </w:rPr>
      </w:pPr>
    </w:p>
    <w:p w14:paraId="114B5D72">
      <w:pPr>
        <w:widowControl/>
        <w:jc w:val="left"/>
        <w:rPr>
          <w:rFonts w:ascii="仿宋_GB2312" w:hAnsi="宋体" w:eastAsia="仿宋_GB2312"/>
          <w:sz w:val="24"/>
          <w:lang w:val="en-GB"/>
        </w:rPr>
      </w:pPr>
      <w:r>
        <w:rPr>
          <w:rFonts w:ascii="仿宋_GB2312" w:hAnsi="宋体" w:eastAsia="仿宋_GB2312"/>
          <w:sz w:val="24"/>
          <w:lang w:val="en-GB"/>
        </w:rPr>
        <w:br w:type="page"/>
      </w:r>
    </w:p>
    <w:p w14:paraId="1FD96179">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58C07A22">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3D8BC05D">
      <w:pPr>
        <w:snapToGrid w:val="0"/>
        <w:spacing w:line="460" w:lineRule="exact"/>
        <w:ind w:firstLine="480" w:firstLineChars="200"/>
        <w:rPr>
          <w:rFonts w:ascii="仿宋" w:hAnsi="仿宋" w:eastAsia="仿宋" w:cs="仿宋_GB2312"/>
          <w:color w:val="000000"/>
          <w:sz w:val="24"/>
        </w:rPr>
      </w:pPr>
    </w:p>
    <w:p w14:paraId="47311E91">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48ED5BEF">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779ACDA3">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6B7A9358">
      <w:pPr>
        <w:snapToGrid w:val="0"/>
        <w:spacing w:line="460" w:lineRule="exact"/>
        <w:ind w:firstLine="480" w:firstLineChars="200"/>
        <w:rPr>
          <w:rFonts w:ascii="仿宋" w:hAnsi="仿宋" w:eastAsia="仿宋" w:cs="仿宋_GB2312"/>
          <w:color w:val="000000"/>
          <w:sz w:val="24"/>
        </w:rPr>
      </w:pPr>
    </w:p>
    <w:p w14:paraId="468854E6">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59FDDD01">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53F1486E">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450011A5">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4A144892">
      <w:pPr>
        <w:numPr>
          <w:ilvl w:val="0"/>
          <w:numId w:val="6"/>
        </w:numPr>
        <w:spacing w:line="500" w:lineRule="exact"/>
        <w:ind w:firstLine="480" w:firstLineChars="200"/>
        <w:rPr>
          <w:rFonts w:hint="eastAsia"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17DF187C">
      <w:pPr>
        <w:spacing w:line="500" w:lineRule="exact"/>
        <w:ind w:left="480"/>
        <w:rPr>
          <w:rFonts w:hint="eastAsia" w:ascii="黑体" w:hAnsi="黑体" w:eastAsia="黑体" w:cs="黑体"/>
          <w:color w:val="000000"/>
          <w:sz w:val="24"/>
        </w:rPr>
      </w:pPr>
      <w:r>
        <w:rPr>
          <w:rFonts w:hint="eastAsia" w:ascii="黑体" w:hAnsi="黑体" w:eastAsia="黑体" w:cs="黑体"/>
          <w:color w:val="000000"/>
          <w:sz w:val="24"/>
        </w:rPr>
        <w:t>二、甲方的安全管理职责</w:t>
      </w:r>
    </w:p>
    <w:p w14:paraId="4ECE1733">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0756CED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w:t>
      </w:r>
      <w:r>
        <w:rPr>
          <w:rFonts w:hint="eastAsia" w:ascii="仿宋" w:hAnsi="仿宋" w:eastAsia="仿宋" w:cs="仿宋_GB2312"/>
          <w:color w:val="000000"/>
          <w:sz w:val="24"/>
        </w:rPr>
        <w:t>严格遵守国家有关安全生产和社会综合治理法律法规、认真执行国家和行业标准，严格遵守合同中有关安全生产和社会综合治理的要求，履行合同约定的安全职责。</w:t>
      </w:r>
    </w:p>
    <w:p w14:paraId="286A40C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按照合同约定的安全工作内容监督检查乙方安全生产的实施，对乙方的日常安全生产、现场管理、消防安全等进行监督检查，发现安全隐患时，及时督促乙方整改。</w:t>
      </w:r>
    </w:p>
    <w:p w14:paraId="7D378F7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统一协调、管理服务区内承租单位的安全生产和社会综合治理工作，履行统一管理的职责。</w:t>
      </w:r>
    </w:p>
    <w:p w14:paraId="78D6DBE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6B28F21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甲方提供的建筑物、设备设施符合国家有关法律法规的规定，满足经营合同中规定经营范围的消防安全及安全生产条件。</w:t>
      </w:r>
    </w:p>
    <w:p w14:paraId="451DFE5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督促乙方依法设立安全生产和社会综治管理机构，配备相应安全管理人员。</w:t>
      </w:r>
    </w:p>
    <w:p w14:paraId="18DBAA5D">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1D73128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发现乙方不具备安全生产资质，甲方有权解除合同，由此造成的一切损失由乙方承担。</w:t>
      </w:r>
    </w:p>
    <w:p w14:paraId="6784656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有权及时纠正制止乙方在生产作业中违章指挥、违规操作及违反劳动保护的行为。</w:t>
      </w:r>
    </w:p>
    <w:p w14:paraId="1B2BA775">
      <w:pPr>
        <w:autoSpaceDE w:val="0"/>
        <w:autoSpaceDN w:val="0"/>
        <w:adjustRightInd w:val="0"/>
        <w:spacing w:line="500" w:lineRule="exact"/>
        <w:ind w:firstLine="632"/>
        <w:rPr>
          <w:rFonts w:hint="eastAsia" w:ascii="黑体" w:hAnsi="黑体" w:eastAsia="黑体" w:cs="黑体"/>
          <w:color w:val="000000"/>
          <w:sz w:val="24"/>
        </w:rPr>
      </w:pPr>
      <w:r>
        <w:rPr>
          <w:rFonts w:hint="eastAsia" w:ascii="黑体" w:hAnsi="黑体" w:eastAsia="黑体" w:cs="黑体"/>
          <w:color w:val="000000"/>
          <w:sz w:val="24"/>
          <w:lang w:val="en-US" w:eastAsia="zh-CN"/>
        </w:rPr>
        <w:t>三</w:t>
      </w:r>
      <w:r>
        <w:rPr>
          <w:rFonts w:hint="eastAsia" w:ascii="黑体" w:hAnsi="黑体" w:eastAsia="黑体" w:cs="黑体"/>
          <w:color w:val="000000"/>
          <w:sz w:val="24"/>
        </w:rPr>
        <w:t>、乙方的安全管理职责</w:t>
      </w:r>
    </w:p>
    <w:p w14:paraId="762E5FF4">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6F66B20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乙方是承租场所经营活动安全生产和社会综合治理的责任主体，必须依法加强安全生产和社会综治管理，建立、健全安全生产和社会综治责任制，完善安全生产条件，确保安全生产。</w:t>
      </w:r>
    </w:p>
    <w:p w14:paraId="6EFB941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严格遵守国家有关安全生产、社会综治、消防、职业卫生、环境保护等法律法规和国家、行业标准，具备相应的安全生产资质和条件，认真执行合同中有关安全生产的要求，按合同约定履行安全职责。</w:t>
      </w:r>
    </w:p>
    <w:p w14:paraId="6D8DE98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服从甲方对安全生产和社会综治工作的统一协调、检查和监督。</w:t>
      </w:r>
    </w:p>
    <w:p w14:paraId="2FCFF15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凡涉及安全、卫生许可的，须在取得相应的安全、卫生许可资质后，方可组织生产经营。</w:t>
      </w:r>
    </w:p>
    <w:p w14:paraId="1889A898">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lang w:val="en-US" w:eastAsia="zh-CN"/>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479FAF1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lang w:val="en-US" w:eastAsia="zh-CN"/>
        </w:rPr>
        <w:t>.</w:t>
      </w:r>
      <w:r>
        <w:rPr>
          <w:rFonts w:hint="eastAsia" w:ascii="仿宋" w:hAnsi="仿宋" w:eastAsia="仿宋" w:cs="仿宋_GB2312"/>
          <w:sz w:val="24"/>
          <w:lang w:val="zh-CN"/>
        </w:rPr>
        <w:t>在生产经营中采用新技术、新工艺、新设备、新材料时，必须制定相应的安全技术措施。</w:t>
      </w:r>
    </w:p>
    <w:p w14:paraId="5FE8A75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lang w:val="zh-CN"/>
        </w:rPr>
        <w:t>，职工身体状况均必须满足国家、行业健康标准要求。新员工未经安全教育和培训，不得上岗。</w:t>
      </w:r>
    </w:p>
    <w:p w14:paraId="0AB57CB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积极参加甲方召开的安全生产会议和安全活动，接受甲方的安全生产监督检查，按照甲方的要求做好安全生产工作。</w:t>
      </w:r>
    </w:p>
    <w:p w14:paraId="093E50D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6FE6EDD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做好安全用电、用气、防汛防台、防中毒、防盗窃等工作，严禁在经营区域出现“三合一”场所，严禁私自改造建筑物结构和用电气线路，保持用电</w:t>
      </w:r>
      <w:r>
        <w:rPr>
          <w:rFonts w:hint="eastAsia" w:ascii="仿宋" w:hAnsi="仿宋" w:eastAsia="仿宋" w:cs="仿宋_GB2312"/>
          <w:color w:val="000000"/>
          <w:sz w:val="24"/>
          <w:lang w:eastAsia="zh-CN"/>
        </w:rPr>
        <w:t>设施完好</w:t>
      </w:r>
      <w:r>
        <w:rPr>
          <w:rFonts w:hint="eastAsia" w:ascii="仿宋" w:hAnsi="仿宋" w:eastAsia="仿宋" w:cs="仿宋_GB2312"/>
          <w:color w:val="000000"/>
          <w:sz w:val="24"/>
        </w:rPr>
        <w:t>，严禁在经营场所使用瓶装煤气瓶及醇基燃料。重点经营区域安装电子监控设备，避免商品、旅客财物受损和人员伤害。若发生旅客人身损害、财产损失事故的，均由乙方承担全部法律责任。</w:t>
      </w:r>
    </w:p>
    <w:p w14:paraId="06C1289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39696DB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保证安全生产所需的必要投入，按规定配备劳动保护用品。依法为从业人员办理工伤保险。</w:t>
      </w:r>
    </w:p>
    <w:p w14:paraId="1485385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对承租场所的装修和设备安装，须符合有关技术标准、消防安全规定和实际安全施工要求，不得改变建筑结构。承租场所的装修方案应事先征得甲方的同意，凡涉及国家规定需审查验收的，按规定办理。</w:t>
      </w:r>
    </w:p>
    <w:p w14:paraId="73AC0E4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679B673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783FB8E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发生安全事故或突发事件的，应立即向甲方及政府相关部门报告，并保护好现场，及时组织抢救，防止事态扩大。并积极配合相关部门做好事故的调查和处理。</w:t>
      </w:r>
    </w:p>
    <w:p w14:paraId="09C581FA">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未经甲方书面同意，不得擅自转租场所。</w:t>
      </w:r>
    </w:p>
    <w:p w14:paraId="2F8F8A87">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5C7B9A7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对甲方违章指挥、强令冒险作业的指令，有权拒绝执行。</w:t>
      </w:r>
    </w:p>
    <w:p w14:paraId="6959DFE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有权向甲方提出安全生产和社会综治合理化建议和改进意见。</w:t>
      </w:r>
    </w:p>
    <w:p w14:paraId="59B80AAC">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在生产经营活动中发生危及乙方人员生命安全的紧急情况时，作业人员有权立即停止作业或者在采取必要的应急措施后撤离危险区域。</w:t>
      </w:r>
    </w:p>
    <w:p w14:paraId="30F4C798">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四</w:t>
      </w:r>
      <w:r>
        <w:rPr>
          <w:rFonts w:hint="eastAsia" w:ascii="黑体" w:hAnsi="黑体" w:eastAsia="黑体" w:cs="黑体"/>
          <w:color w:val="000000"/>
          <w:sz w:val="24"/>
        </w:rPr>
        <w:t>、其他条款</w:t>
      </w:r>
    </w:p>
    <w:p w14:paraId="69CC0A9D">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2416BF91">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lang w:val="en-US" w:eastAsia="zh-CN"/>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14:paraId="2E96F7F5">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lang w:val="en-US" w:eastAsia="zh-CN"/>
        </w:rPr>
        <w:t>.</w:t>
      </w:r>
      <w:r>
        <w:rPr>
          <w:rFonts w:hint="eastAsia" w:ascii="仿宋" w:hAnsi="仿宋" w:eastAsia="仿宋" w:cs="仿宋_GB2312"/>
          <w:sz w:val="24"/>
          <w:lang w:val="zh-CN"/>
        </w:rPr>
        <w:t>乙方出现违反安全协议约定情形的，甲方有权按每次人民币1000——10000 元，从履约保证金中扣除。</w:t>
      </w:r>
    </w:p>
    <w:p w14:paraId="5D52A00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lang w:val="en-US" w:eastAsia="zh-CN"/>
        </w:rPr>
        <w:t>.</w:t>
      </w:r>
      <w:r>
        <w:rPr>
          <w:rFonts w:hint="eastAsia" w:ascii="仿宋" w:hAnsi="仿宋" w:eastAsia="仿宋" w:cs="仿宋_GB2312"/>
          <w:sz w:val="24"/>
          <w:lang w:val="zh-CN"/>
        </w:rPr>
        <w:t>乙方在经营期内发生责任死亡事故的，甲方有权对乙方处以人民币5-10万元/人的处罚。</w:t>
      </w:r>
    </w:p>
    <w:p w14:paraId="79548B71">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12F58F42">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因乙方原因造成生产安全事故、消防事故、治安案件或因违法经营等造成不良影响的，一切法律责任、经济责任和管理责任均由乙方负责。</w:t>
      </w:r>
    </w:p>
    <w:p w14:paraId="0F324291">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在经营期间，在乙方承租场所发生的安全事故或造成人身财产损害的，由乙方承担经济与法律责任，与甲方无涉，给甲方造成不良社会影响的，甲方有权要求乙方进行赔偿。</w:t>
      </w:r>
    </w:p>
    <w:p w14:paraId="525C020E">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在经营期间，乙方及其工作人员发生伤亡事故，乙方承担经济及相关法律责任，与甲方无涉。</w:t>
      </w:r>
    </w:p>
    <w:p w14:paraId="45D9E9E7">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五</w:t>
      </w:r>
      <w:r>
        <w:rPr>
          <w:rFonts w:hint="eastAsia" w:ascii="黑体" w:hAnsi="黑体" w:eastAsia="黑体" w:cs="黑体"/>
          <w:color w:val="000000"/>
          <w:sz w:val="24"/>
        </w:rPr>
        <w:t>、本合同的签订作为甲、乙双方于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650E3BC3">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lang w:val="en-US" w:eastAsia="zh-CN"/>
        </w:rPr>
        <w:t>六</w:t>
      </w:r>
      <w:r>
        <w:rPr>
          <w:rFonts w:hint="eastAsia" w:ascii="黑体" w:hAnsi="黑体" w:eastAsia="黑体" w:cs="黑体"/>
          <w:color w:val="000000"/>
          <w:sz w:val="24"/>
        </w:rPr>
        <w:t>、本合同经甲、乙双方签字盖章后生效</w:t>
      </w:r>
      <w:r>
        <w:rPr>
          <w:rFonts w:hint="eastAsia" w:ascii="黑体" w:hAnsi="黑体" w:eastAsia="黑体" w:cs="黑体"/>
          <w:color w:val="000000"/>
          <w:sz w:val="24"/>
          <w:lang w:eastAsia="zh-CN"/>
        </w:rPr>
        <w:t>，合同一式四份</w:t>
      </w:r>
      <w:r>
        <w:rPr>
          <w:rFonts w:hint="eastAsia" w:ascii="黑体" w:hAnsi="黑体" w:eastAsia="黑体" w:cs="黑体"/>
          <w:color w:val="000000"/>
          <w:sz w:val="24"/>
        </w:rPr>
        <w:t>，合同双方各执两份，每份具有同等法律效力。</w:t>
      </w:r>
    </w:p>
    <w:p w14:paraId="15D4DE89">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0665037E">
      <w:pPr>
        <w:snapToGrid w:val="0"/>
        <w:spacing w:line="460" w:lineRule="exact"/>
        <w:rPr>
          <w:rFonts w:ascii="仿宋" w:hAnsi="仿宋" w:eastAsia="仿宋"/>
          <w:sz w:val="24"/>
          <w:lang w:val="en-GB"/>
        </w:rPr>
      </w:pPr>
    </w:p>
    <w:p w14:paraId="2EEAAB51">
      <w:pPr>
        <w:snapToGrid w:val="0"/>
        <w:spacing w:line="460" w:lineRule="exact"/>
        <w:rPr>
          <w:rFonts w:ascii="仿宋" w:hAnsi="仿宋" w:eastAsia="仿宋"/>
          <w:sz w:val="24"/>
          <w:lang w:val="en-GB"/>
        </w:rPr>
      </w:pPr>
    </w:p>
    <w:p w14:paraId="59EC42EC">
      <w:pPr>
        <w:snapToGrid w:val="0"/>
        <w:spacing w:line="460" w:lineRule="exact"/>
        <w:rPr>
          <w:rFonts w:ascii="仿宋" w:hAnsi="仿宋" w:eastAsia="仿宋"/>
          <w:sz w:val="24"/>
          <w:lang w:val="en-GB"/>
        </w:rPr>
      </w:pPr>
    </w:p>
    <w:p w14:paraId="33759090">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747A7683">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7113705D">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351879EB">
      <w:pPr>
        <w:adjustRightInd w:val="0"/>
        <w:snapToGrid w:val="0"/>
        <w:spacing w:line="360" w:lineRule="auto"/>
        <w:rPr>
          <w:rFonts w:ascii="仿宋" w:hAnsi="仿宋" w:eastAsia="仿宋"/>
          <w:sz w:val="24"/>
          <w:lang w:val="en-GB"/>
        </w:rPr>
      </w:pPr>
    </w:p>
    <w:p w14:paraId="588230AF">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6C8E4A80">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7363CACB">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0504D822"/>
    <w:p w14:paraId="4D50065B">
      <w:pPr>
        <w:widowControl/>
        <w:jc w:val="left"/>
        <w:rPr>
          <w:rFonts w:asciiTheme="majorEastAsia" w:hAnsiTheme="majorEastAsia" w:eastAsiaTheme="majorEastAsia"/>
          <w:b/>
          <w:sz w:val="32"/>
          <w:lang w:val="en-GB"/>
        </w:rPr>
      </w:pPr>
    </w:p>
    <w:p w14:paraId="2F548793">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7BFD6BC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75F584E9">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高速公路服务区业务廉政合同</w:t>
      </w:r>
    </w:p>
    <w:p w14:paraId="708BB743">
      <w:pPr>
        <w:snapToGrid w:val="0"/>
        <w:spacing w:line="460" w:lineRule="exact"/>
        <w:jc w:val="center"/>
        <w:rPr>
          <w:rFonts w:asciiTheme="majorEastAsia" w:hAnsiTheme="majorEastAsia" w:eastAsiaTheme="majorEastAsia"/>
          <w:b/>
          <w:sz w:val="32"/>
          <w:lang w:val="en-GB"/>
        </w:rPr>
      </w:pPr>
    </w:p>
    <w:p w14:paraId="44C6392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根据有关廉政建设的规定，为做好经营活动中的党风廉政建设，保证服务区严格管理、规范服务，自觉维护服务区文明窗口形象以及投资效益，</w:t>
      </w:r>
      <w:r>
        <w:rPr>
          <w:rFonts w:hint="eastAsia" w:ascii="仿宋_GB2312" w:eastAsia="仿宋_GB2312"/>
          <w:sz w:val="24"/>
          <w:u w:val="single"/>
        </w:rPr>
        <w:t xml:space="preserve">      </w:t>
      </w:r>
      <w:r>
        <w:rPr>
          <w:rFonts w:hint="eastAsia" w:ascii="仿宋_GB2312" w:eastAsia="仿宋_GB2312"/>
          <w:sz w:val="24"/>
        </w:rPr>
        <w:t>服务区</w:t>
      </w:r>
      <w:r>
        <w:rPr>
          <w:rFonts w:hint="eastAsia" w:ascii="仿宋_GB2312" w:eastAsia="仿宋_GB2312"/>
          <w:sz w:val="24"/>
          <w:lang w:eastAsia="zh-CN"/>
        </w:rPr>
        <w:t>（</w:t>
      </w:r>
      <w:r>
        <w:rPr>
          <w:rFonts w:hint="eastAsia" w:ascii="仿宋_GB2312" w:hAnsi="仿宋_GB2312" w:eastAsia="仿宋_GB2312" w:cs="仿宋_GB2312"/>
          <w:sz w:val="24"/>
        </w:rPr>
        <w:t>以下称甲方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与</w:t>
      </w:r>
      <w:r>
        <w:rPr>
          <w:rFonts w:hint="eastAsia" w:ascii="仿宋_GB2312" w:hAnsi="仿宋_GB2312" w:eastAsia="仿宋_GB2312" w:cs="仿宋_GB2312"/>
          <w:sz w:val="24"/>
          <w:u w:val="single"/>
        </w:rPr>
        <w:t xml:space="preserve"> </w:t>
      </w:r>
      <w:r>
        <w:rPr>
          <w:rFonts w:hint="eastAsia" w:ascii="仿宋_GB2312" w:eastAsia="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rPr>
        <w:t>以下称乙方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，特订立以下合同。</w:t>
      </w:r>
    </w:p>
    <w:p w14:paraId="2C4128D5">
      <w:pPr>
        <w:spacing w:line="400" w:lineRule="exact"/>
        <w:ind w:firstLine="480" w:firstLineChars="200"/>
        <w:rPr>
          <w:rFonts w:hint="eastAsia" w:ascii="黑体" w:hAnsi="黑体" w:eastAsia="黑体" w:cs="黑体"/>
          <w:sz w:val="24"/>
        </w:rPr>
      </w:pPr>
      <w:r>
        <w:rPr>
          <w:rFonts w:hint="eastAsia" w:ascii="黑体" w:hAnsi="黑体" w:eastAsia="黑体" w:cs="黑体"/>
          <w:sz w:val="24"/>
        </w:rPr>
        <w:t>1．甲乙双方的权利和义务</w:t>
      </w:r>
    </w:p>
    <w:p w14:paraId="402930B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严格遵守党和国家有关法律法规及主管行业部门的有关廉政规定。</w:t>
      </w:r>
    </w:p>
    <w:p w14:paraId="6F32F29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严格执行项目经营合同，自觉按合同办事。</w:t>
      </w:r>
    </w:p>
    <w:p w14:paraId="1CDF702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双方的业务活动坚持公开、公正、诚信、透明的原则，不得损害国家和集体的利益，不得违反相关的规章制度。</w:t>
      </w:r>
    </w:p>
    <w:p w14:paraId="42D5FBA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建立健全廉政制度，开展廉政教育，建立廉政告示牌，公布举报电话，监督并认真查处违法违纪行为。</w:t>
      </w:r>
    </w:p>
    <w:p w14:paraId="7FC11A0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发现对方在业务活动中有违反廉政规定的行为，有及时提醒对方纠正的权利和义务。</w:t>
      </w:r>
    </w:p>
    <w:p w14:paraId="2767D69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发现对方严重违反本合同义务条款的行为，有向其上级有关部门举报、建议给予处理并要求告知处理结果的权利。</w:t>
      </w:r>
    </w:p>
    <w:p w14:paraId="18E07E57">
      <w:pPr>
        <w:spacing w:line="400" w:lineRule="exact"/>
        <w:ind w:firstLine="480" w:firstLineChars="200"/>
        <w:rPr>
          <w:rFonts w:hint="eastAsia" w:ascii="黑体" w:hAnsi="黑体" w:eastAsia="黑体" w:cs="黑体"/>
          <w:sz w:val="24"/>
        </w:rPr>
      </w:pPr>
      <w:r>
        <w:rPr>
          <w:rFonts w:hint="eastAsia" w:ascii="黑体" w:hAnsi="黑体" w:eastAsia="黑体" w:cs="黑体"/>
          <w:sz w:val="24"/>
        </w:rPr>
        <w:t>2．甲方的义务</w:t>
      </w:r>
    </w:p>
    <w:p w14:paraId="0F736538">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甲方及其工作人员不得索要或接受乙方的礼金、有价证券和贵重物品，不得在乙方报销任何应由甲方或个人支付的费用。</w:t>
      </w:r>
    </w:p>
    <w:p w14:paraId="45F85B9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甲方工作人员不得参加乙方安排的超标准宴请和娱乐活动，不得接受乙方提供的通讯、交通工具和高档办公用品。</w:t>
      </w:r>
    </w:p>
    <w:p w14:paraId="59B2D62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甲方及其工作人员不得要求或者接受乙方为其住房装修、婚丧嫁娶活动、配偶子女的工作安排以及出国出境、旅游等提供方便。</w:t>
      </w:r>
    </w:p>
    <w:p w14:paraId="4C8E144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甲方工作人员及其配偶、子女不得从事与甲方服务区经营项目有关的材料设备和商品供应、工程分包、劳务等经济活动。</w:t>
      </w:r>
    </w:p>
    <w:p w14:paraId="62F0CA6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甲方及其工作人员不得以任何理由向乙方推荐经营单位，推荐材料、商品。</w:t>
      </w:r>
    </w:p>
    <w:p w14:paraId="3DC61E5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甲方工作人员要秉公办事，不准营私舞弊，不准利用职权从事各种个人有偿中介活动和安排个人施工队伍。</w:t>
      </w:r>
    </w:p>
    <w:p w14:paraId="7D6B2E97">
      <w:pPr>
        <w:spacing w:line="400" w:lineRule="exact"/>
        <w:ind w:firstLine="480" w:firstLineChars="200"/>
        <w:rPr>
          <w:rFonts w:hint="eastAsia" w:ascii="黑体" w:hAnsi="黑体" w:eastAsia="黑体" w:cs="黑体"/>
          <w:sz w:val="24"/>
        </w:rPr>
      </w:pPr>
      <w:r>
        <w:rPr>
          <w:rFonts w:hint="eastAsia" w:ascii="黑体" w:hAnsi="黑体" w:eastAsia="黑体" w:cs="黑体"/>
          <w:sz w:val="24"/>
        </w:rPr>
        <w:t>3．乙方义务</w:t>
      </w:r>
    </w:p>
    <w:p w14:paraId="6EB67E1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乙方不得以任何名义向甲方及其工作人员馈赠礼金、有价证券、贵重礼品。</w:t>
      </w:r>
    </w:p>
    <w:p w14:paraId="6F757D5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乙方不得以任何名义为甲方及其工作人员报销由甲方单位或个人支付的费用。</w:t>
      </w:r>
    </w:p>
    <w:p w14:paraId="69DF795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乙方不得以任何理由安排甲方工作人员参加超标准宴请及娱乐活动。</w:t>
      </w:r>
    </w:p>
    <w:p w14:paraId="08F67821">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乙方不得为甲方单位和个人购置或</w:t>
      </w:r>
      <w:r>
        <w:rPr>
          <w:rFonts w:hint="eastAsia" w:ascii="仿宋_GB2312" w:hAnsi="仿宋_GB2312" w:eastAsia="仿宋_GB2312" w:cs="仿宋_GB2312"/>
          <w:sz w:val="24"/>
          <w:lang w:eastAsia="zh-CN"/>
        </w:rPr>
        <w:t>提供通信</w:t>
      </w:r>
      <w:r>
        <w:rPr>
          <w:rFonts w:hint="eastAsia" w:ascii="仿宋_GB2312" w:hAnsi="仿宋_GB2312" w:eastAsia="仿宋_GB2312" w:cs="仿宋_GB2312"/>
          <w:sz w:val="24"/>
        </w:rPr>
        <w:t>工具、交通工具和高档办公用品。</w:t>
      </w:r>
    </w:p>
    <w:p w14:paraId="11B307F1">
      <w:pPr>
        <w:spacing w:line="400" w:lineRule="exact"/>
        <w:ind w:firstLine="480" w:firstLineChars="200"/>
        <w:rPr>
          <w:rFonts w:hint="eastAsia" w:ascii="黑体" w:hAnsi="黑体" w:eastAsia="黑体" w:cs="黑体"/>
          <w:sz w:val="24"/>
        </w:rPr>
      </w:pPr>
      <w:r>
        <w:rPr>
          <w:rFonts w:hint="eastAsia" w:ascii="黑体" w:hAnsi="黑体" w:eastAsia="黑体" w:cs="黑体"/>
          <w:sz w:val="24"/>
        </w:rPr>
        <w:t>4．违约责任</w:t>
      </w:r>
    </w:p>
    <w:p w14:paraId="1B61835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甲方及其工作人员违反本合同第1、2条，按管理权限，依据有关规定给予党纪、政纪或组织处理；涉嫌犯罪的，移交司法机关追究刑事责任；给乙方单位造成经济损失的，应予以赔偿。</w:t>
      </w:r>
    </w:p>
    <w:p w14:paraId="775A5E0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14:paraId="43BF147B">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5．双方约定：</w:t>
      </w:r>
      <w:r>
        <w:rPr>
          <w:rFonts w:hint="eastAsia" w:ascii="仿宋_GB2312" w:hAnsi="仿宋_GB2312" w:eastAsia="仿宋_GB2312" w:cs="仿宋_GB2312"/>
          <w:sz w:val="24"/>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301BB42A">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6．</w:t>
      </w:r>
      <w:r>
        <w:rPr>
          <w:rFonts w:hint="eastAsia" w:ascii="仿宋_GB2312" w:hAnsi="仿宋_GB2312" w:eastAsia="仿宋_GB2312" w:cs="仿宋_GB2312"/>
          <w:sz w:val="24"/>
        </w:rPr>
        <w:t>本合同有效期为甲乙双方签署之日起至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合同履约完毕之日止。</w:t>
      </w:r>
    </w:p>
    <w:p w14:paraId="738CC308">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7．</w:t>
      </w:r>
      <w:r>
        <w:rPr>
          <w:rFonts w:hint="eastAsia" w:ascii="仿宋_GB2312" w:hAnsi="仿宋_GB2312" w:eastAsia="仿宋_GB2312" w:cs="仿宋_GB2312"/>
          <w:sz w:val="24"/>
        </w:rPr>
        <w:t>本合同作为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合同的附件，与该合同具有同等的法律效力，经合同双方签署立即生效。</w:t>
      </w:r>
    </w:p>
    <w:p w14:paraId="59BF828C">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8．</w:t>
      </w:r>
      <w:r>
        <w:rPr>
          <w:rFonts w:hint="eastAsia" w:ascii="仿宋_GB2312" w:hAnsi="仿宋_GB2312" w:eastAsia="仿宋_GB2312" w:cs="仿宋_GB2312"/>
          <w:sz w:val="24"/>
        </w:rPr>
        <w:t>本合同正本</w:t>
      </w:r>
      <w:r>
        <w:rPr>
          <w:rFonts w:hint="eastAsia" w:ascii="仿宋_GB2312" w:hAnsi="仿宋_GB2312" w:eastAsia="仿宋_GB2312" w:cs="仿宋_GB2312"/>
          <w:sz w:val="24"/>
          <w:lang w:eastAsia="zh-CN"/>
        </w:rPr>
        <w:t>一式四份</w:t>
      </w:r>
      <w:r>
        <w:rPr>
          <w:rFonts w:hint="eastAsia" w:ascii="仿宋_GB2312" w:hAnsi="仿宋_GB2312" w:eastAsia="仿宋_GB2312" w:cs="仿宋_GB2312"/>
          <w:sz w:val="24"/>
        </w:rPr>
        <w:t>，双方各执两份，每份具有同等法律效力。</w:t>
      </w:r>
    </w:p>
    <w:p w14:paraId="46B89A1B">
      <w:pPr>
        <w:spacing w:line="400" w:lineRule="exact"/>
        <w:ind w:firstLine="480" w:firstLineChars="200"/>
        <w:rPr>
          <w:rFonts w:ascii="仿宋_GB2312" w:hAnsi="仿宋_GB2312" w:eastAsia="仿宋_GB2312" w:cs="仿宋_GB2312"/>
          <w:sz w:val="24"/>
        </w:rPr>
      </w:pPr>
    </w:p>
    <w:p w14:paraId="3999B7BD">
      <w:pPr>
        <w:spacing w:line="400" w:lineRule="exact"/>
        <w:ind w:firstLine="480" w:firstLineChars="200"/>
        <w:rPr>
          <w:rFonts w:ascii="仿宋_GB2312" w:hAnsi="仿宋_GB2312" w:eastAsia="仿宋_GB2312" w:cs="仿宋_GB2312"/>
          <w:sz w:val="24"/>
        </w:rPr>
      </w:pPr>
    </w:p>
    <w:p w14:paraId="0687448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甲方单位：（盖章）                  乙方单位：（盖章）</w:t>
      </w:r>
    </w:p>
    <w:p w14:paraId="40D71636">
      <w:pPr>
        <w:spacing w:line="400" w:lineRule="exact"/>
        <w:ind w:firstLine="480" w:firstLineChars="200"/>
        <w:rPr>
          <w:rFonts w:ascii="仿宋_GB2312" w:hAnsi="仿宋_GB2312" w:eastAsia="仿宋_GB2312" w:cs="仿宋_GB2312"/>
          <w:sz w:val="24"/>
        </w:rPr>
      </w:pPr>
    </w:p>
    <w:p w14:paraId="333C804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法定代表人或其授权代理人：</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法定代表人或其授权代理人：</w:t>
      </w:r>
      <w:r>
        <w:rPr>
          <w:rFonts w:ascii="仿宋_GB2312" w:hAnsi="仿宋_GB2312" w:eastAsia="仿宋_GB2312" w:cs="仿宋_GB2312"/>
          <w:sz w:val="24"/>
        </w:rPr>
        <w:t xml:space="preserve"> </w:t>
      </w:r>
    </w:p>
    <w:p w14:paraId="236A839C">
      <w:pPr>
        <w:spacing w:line="400" w:lineRule="exact"/>
        <w:ind w:firstLine="480" w:firstLineChars="200"/>
        <w:jc w:val="right"/>
        <w:rPr>
          <w:rFonts w:ascii="仿宋_GB2312" w:hAnsi="仿宋_GB2312" w:eastAsia="仿宋_GB2312" w:cs="仿宋_GB2312"/>
          <w:sz w:val="24"/>
        </w:rPr>
      </w:pPr>
    </w:p>
    <w:p w14:paraId="175E8DB2">
      <w:pPr>
        <w:spacing w:line="400" w:lineRule="exact"/>
        <w:ind w:firstLine="480" w:firstLineChars="200"/>
        <w:rPr>
          <w:rFonts w:ascii="仿宋_GB2312" w:hAnsi="仿宋_GB2312" w:eastAsia="仿宋_GB2312" w:cs="仿宋_GB2312"/>
          <w:sz w:val="24"/>
        </w:rPr>
      </w:pPr>
    </w:p>
    <w:p w14:paraId="5BE86ACE">
      <w:pPr>
        <w:spacing w:line="400" w:lineRule="exact"/>
        <w:ind w:firstLine="480" w:firstLineChars="200"/>
        <w:rPr>
          <w:rFonts w:ascii="仿宋_GB2312" w:hAnsi="仿宋_GB2312" w:eastAsia="仿宋_GB2312" w:cs="仿宋_GB2312"/>
          <w:sz w:val="24"/>
        </w:rPr>
      </w:pPr>
    </w:p>
    <w:p w14:paraId="181771D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14:paraId="4011D182">
      <w:pPr>
        <w:rPr>
          <w:rFonts w:ascii="仿宋_GB2312" w:hAnsi="宋体" w:eastAsia="仿宋_GB2312"/>
          <w:sz w:val="24"/>
          <w:lang w:val="en-GB"/>
        </w:rPr>
      </w:pPr>
    </w:p>
    <w:p w14:paraId="33176AB9">
      <w:pPr>
        <w:widowControl/>
        <w:jc w:val="left"/>
        <w:rPr>
          <w:rFonts w:ascii="仿宋_GB2312" w:hAnsi="宋体" w:eastAsia="仿宋_GB2312"/>
          <w:sz w:val="24"/>
        </w:rPr>
      </w:pPr>
      <w:r>
        <w:rPr>
          <w:rFonts w:ascii="仿宋_GB2312" w:hAnsi="宋体" w:eastAsia="仿宋_GB2312"/>
          <w:sz w:val="24"/>
        </w:rPr>
        <w:br w:type="page"/>
      </w:r>
    </w:p>
    <w:p w14:paraId="32BE51AF">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45BDC704">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6441C69F">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4DBC9F8F">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2A75B42E">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r>
        <w:rPr>
          <w:rFonts w:hint="eastAsia" w:ascii="仿宋" w:hAnsi="仿宋" w:eastAsia="仿宋"/>
          <w:b w:val="0"/>
          <w:bCs w:val="0"/>
          <w:sz w:val="24"/>
          <w:highlight w:val="none"/>
        </w:rPr>
        <w:t>己方</w:t>
      </w:r>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14:paraId="682656B7">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15A8E449">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15E16636">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7A68CF24">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323D4467">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43B55005">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121218C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7EC4E67D">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7288FD03">
      <w:pPr>
        <w:widowControl/>
        <w:jc w:val="left"/>
        <w:rPr>
          <w:rFonts w:ascii="仿宋_GB2312" w:hAnsi="宋体" w:eastAsia="仿宋_GB2312"/>
          <w:sz w:val="24"/>
        </w:rPr>
      </w:pPr>
      <w:r>
        <w:rPr>
          <w:rFonts w:ascii="仿宋_GB2312" w:hAnsi="宋体" w:eastAsia="仿宋_GB2312"/>
          <w:sz w:val="24"/>
        </w:rPr>
        <w:br w:type="page"/>
      </w:r>
    </w:p>
    <w:p w14:paraId="149D1CF4">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579C2BE7">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0B02584A">
      <w:pPr>
        <w:snapToGrid w:val="0"/>
        <w:spacing w:line="460" w:lineRule="exact"/>
        <w:rPr>
          <w:rFonts w:asciiTheme="majorEastAsia" w:hAnsiTheme="majorEastAsia" w:eastAsiaTheme="majorEastAsia"/>
          <w:b/>
          <w:sz w:val="32"/>
          <w:lang w:val="en-GB"/>
        </w:rPr>
      </w:pPr>
    </w:p>
    <w:p w14:paraId="747E7896">
      <w:pPr>
        <w:snapToGrid w:val="0"/>
        <w:spacing w:line="460" w:lineRule="exact"/>
        <w:rPr>
          <w:rFonts w:asciiTheme="majorEastAsia" w:hAnsiTheme="majorEastAsia" w:eastAsiaTheme="majorEastAsia"/>
          <w:b/>
          <w:sz w:val="32"/>
          <w:lang w:val="en-GB"/>
        </w:rPr>
      </w:pPr>
    </w:p>
    <w:p w14:paraId="67DAE5FF">
      <w:pPr>
        <w:snapToGrid w:val="0"/>
        <w:spacing w:line="460" w:lineRule="exact"/>
        <w:rPr>
          <w:rFonts w:asciiTheme="majorEastAsia" w:hAnsiTheme="majorEastAsia" w:eastAsiaTheme="majorEastAsia"/>
          <w:b/>
          <w:sz w:val="32"/>
          <w:lang w:val="en-GB"/>
        </w:rPr>
      </w:pPr>
    </w:p>
    <w:p w14:paraId="37F0AFF6">
      <w:pPr>
        <w:snapToGrid w:val="0"/>
        <w:spacing w:line="460" w:lineRule="exact"/>
        <w:rPr>
          <w:rFonts w:asciiTheme="majorEastAsia" w:hAnsiTheme="majorEastAsia" w:eastAsiaTheme="majorEastAsia"/>
          <w:b/>
          <w:sz w:val="32"/>
          <w:lang w:val="en-GB"/>
        </w:rPr>
      </w:pPr>
    </w:p>
    <w:p w14:paraId="3AC07D4E">
      <w:pPr>
        <w:snapToGrid w:val="0"/>
        <w:spacing w:line="460" w:lineRule="exact"/>
        <w:rPr>
          <w:rFonts w:asciiTheme="majorEastAsia" w:hAnsiTheme="majorEastAsia" w:eastAsiaTheme="majorEastAsia"/>
          <w:b/>
          <w:sz w:val="32"/>
          <w:lang w:val="en-GB"/>
        </w:rPr>
      </w:pPr>
    </w:p>
    <w:p w14:paraId="523E0D7B">
      <w:pPr>
        <w:snapToGrid w:val="0"/>
        <w:spacing w:line="460" w:lineRule="exact"/>
        <w:rPr>
          <w:rFonts w:asciiTheme="majorEastAsia" w:hAnsiTheme="majorEastAsia" w:eastAsiaTheme="majorEastAsia"/>
          <w:b/>
          <w:sz w:val="32"/>
          <w:lang w:val="en-GB"/>
        </w:rPr>
      </w:pPr>
    </w:p>
    <w:p w14:paraId="4F386F4A">
      <w:pPr>
        <w:snapToGrid w:val="0"/>
        <w:spacing w:line="460" w:lineRule="exact"/>
        <w:rPr>
          <w:rFonts w:asciiTheme="majorEastAsia" w:hAnsiTheme="majorEastAsia" w:eastAsiaTheme="majorEastAsia"/>
          <w:b/>
          <w:sz w:val="32"/>
          <w:lang w:val="en-GB"/>
        </w:rPr>
      </w:pPr>
    </w:p>
    <w:p w14:paraId="5DD2E5EF">
      <w:pPr>
        <w:snapToGrid w:val="0"/>
        <w:spacing w:line="460" w:lineRule="exact"/>
        <w:rPr>
          <w:rFonts w:asciiTheme="majorEastAsia" w:hAnsiTheme="majorEastAsia" w:eastAsiaTheme="majorEastAsia"/>
          <w:b/>
          <w:sz w:val="32"/>
          <w:lang w:val="en-GB"/>
        </w:rPr>
      </w:pPr>
    </w:p>
    <w:p w14:paraId="470D4352">
      <w:pPr>
        <w:snapToGrid w:val="0"/>
        <w:spacing w:line="460" w:lineRule="exact"/>
        <w:rPr>
          <w:rFonts w:asciiTheme="majorEastAsia" w:hAnsiTheme="majorEastAsia" w:eastAsiaTheme="majorEastAsia"/>
          <w:b/>
          <w:sz w:val="32"/>
          <w:lang w:val="en-GB"/>
        </w:rPr>
      </w:pPr>
    </w:p>
    <w:p w14:paraId="25FB4163">
      <w:pPr>
        <w:snapToGrid w:val="0"/>
        <w:spacing w:line="460" w:lineRule="exact"/>
        <w:rPr>
          <w:rFonts w:asciiTheme="majorEastAsia" w:hAnsiTheme="majorEastAsia" w:eastAsiaTheme="majorEastAsia"/>
          <w:b/>
          <w:sz w:val="32"/>
          <w:lang w:val="en-GB"/>
        </w:rPr>
      </w:pPr>
    </w:p>
    <w:p w14:paraId="332BEB6C">
      <w:pPr>
        <w:snapToGrid w:val="0"/>
        <w:spacing w:line="460" w:lineRule="exact"/>
        <w:rPr>
          <w:rFonts w:asciiTheme="majorEastAsia" w:hAnsiTheme="majorEastAsia" w:eastAsiaTheme="majorEastAsia"/>
          <w:b/>
          <w:sz w:val="32"/>
          <w:lang w:val="en-GB"/>
        </w:rPr>
      </w:pPr>
    </w:p>
    <w:p w14:paraId="0F195F2E">
      <w:pPr>
        <w:snapToGrid w:val="0"/>
        <w:spacing w:line="460" w:lineRule="exact"/>
        <w:rPr>
          <w:rFonts w:asciiTheme="majorEastAsia" w:hAnsiTheme="majorEastAsia" w:eastAsiaTheme="majorEastAsia"/>
          <w:b/>
          <w:sz w:val="32"/>
          <w:lang w:val="en-GB"/>
        </w:rPr>
      </w:pPr>
    </w:p>
    <w:p w14:paraId="28616AF1">
      <w:pPr>
        <w:snapToGrid w:val="0"/>
        <w:spacing w:line="460" w:lineRule="exact"/>
        <w:rPr>
          <w:rFonts w:asciiTheme="majorEastAsia" w:hAnsiTheme="majorEastAsia" w:eastAsiaTheme="majorEastAsia"/>
          <w:b/>
          <w:sz w:val="32"/>
          <w:lang w:val="en-GB"/>
        </w:rPr>
      </w:pPr>
    </w:p>
    <w:p w14:paraId="43145585">
      <w:pPr>
        <w:snapToGrid w:val="0"/>
        <w:spacing w:line="460" w:lineRule="exact"/>
        <w:rPr>
          <w:rFonts w:asciiTheme="majorEastAsia" w:hAnsiTheme="majorEastAsia" w:eastAsiaTheme="majorEastAsia"/>
          <w:b/>
          <w:sz w:val="32"/>
          <w:lang w:val="en-GB"/>
        </w:rPr>
      </w:pPr>
    </w:p>
    <w:p w14:paraId="5FAD2EB6">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770E645F">
      <w:pPr>
        <w:snapToGrid w:val="0"/>
        <w:spacing w:line="460" w:lineRule="exact"/>
        <w:rPr>
          <w:rFonts w:ascii="仿宋_GB2312" w:hAnsi="宋体" w:eastAsia="仿宋_GB2312"/>
          <w:sz w:val="24"/>
        </w:rPr>
      </w:pPr>
    </w:p>
    <w:p w14:paraId="13FB252B">
      <w:pPr>
        <w:widowControl/>
        <w:jc w:val="left"/>
        <w:rPr>
          <w:rFonts w:ascii="仿宋_GB2312" w:hAnsi="宋体" w:eastAsia="仿宋_GB2312"/>
          <w:sz w:val="24"/>
        </w:rPr>
      </w:pPr>
      <w:r>
        <w:rPr>
          <w:rFonts w:ascii="仿宋_GB2312" w:hAnsi="宋体" w:eastAsia="仿宋_GB2312"/>
          <w:sz w:val="24"/>
        </w:rPr>
        <w:br w:type="page"/>
      </w:r>
    </w:p>
    <w:p w14:paraId="1B57E86D">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4EF5038B">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2AE856BE">
      <w:pPr>
        <w:rPr>
          <w:lang w:val="en-G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478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4401357">
            <w:pPr>
              <w:jc w:val="center"/>
              <w:rPr>
                <w:lang w:val="en-GB"/>
              </w:rPr>
            </w:pPr>
            <w:r>
              <w:rPr>
                <w:lang w:val="en-GB"/>
              </w:rPr>
              <w:t>序号</w:t>
            </w:r>
          </w:p>
        </w:tc>
        <w:tc>
          <w:tcPr>
            <w:tcW w:w="1275" w:type="dxa"/>
          </w:tcPr>
          <w:p w14:paraId="70FEB263">
            <w:pPr>
              <w:jc w:val="center"/>
              <w:rPr>
                <w:lang w:val="en-GB"/>
              </w:rPr>
            </w:pPr>
            <w:r>
              <w:rPr>
                <w:lang w:val="en-GB"/>
              </w:rPr>
              <w:t>品类</w:t>
            </w:r>
          </w:p>
        </w:tc>
        <w:tc>
          <w:tcPr>
            <w:tcW w:w="1560" w:type="dxa"/>
          </w:tcPr>
          <w:p w14:paraId="020F3F31">
            <w:pPr>
              <w:jc w:val="center"/>
              <w:rPr>
                <w:lang w:val="en-GB"/>
              </w:rPr>
            </w:pPr>
            <w:r>
              <w:rPr>
                <w:lang w:val="en-GB"/>
              </w:rPr>
              <w:t>规格</w:t>
            </w:r>
          </w:p>
        </w:tc>
        <w:tc>
          <w:tcPr>
            <w:tcW w:w="1701" w:type="dxa"/>
          </w:tcPr>
          <w:p w14:paraId="6DAB6325">
            <w:pPr>
              <w:jc w:val="center"/>
              <w:rPr>
                <w:lang w:val="en-GB"/>
              </w:rPr>
            </w:pPr>
            <w:r>
              <w:rPr>
                <w:lang w:val="en-GB"/>
              </w:rPr>
              <w:t>售价：元</w:t>
            </w:r>
          </w:p>
        </w:tc>
        <w:tc>
          <w:tcPr>
            <w:tcW w:w="1510" w:type="dxa"/>
          </w:tcPr>
          <w:p w14:paraId="559A08DA">
            <w:pPr>
              <w:jc w:val="center"/>
              <w:rPr>
                <w:lang w:val="en-GB"/>
              </w:rPr>
            </w:pPr>
            <w:r>
              <w:rPr>
                <w:rFonts w:hint="eastAsia"/>
                <w:lang w:val="en-GB"/>
              </w:rPr>
              <w:t>参考</w:t>
            </w:r>
            <w:r>
              <w:rPr>
                <w:lang w:val="en-GB"/>
              </w:rPr>
              <w:t>图片</w:t>
            </w:r>
          </w:p>
        </w:tc>
        <w:tc>
          <w:tcPr>
            <w:tcW w:w="1375" w:type="dxa"/>
          </w:tcPr>
          <w:p w14:paraId="19659F1A">
            <w:pPr>
              <w:jc w:val="center"/>
              <w:rPr>
                <w:lang w:val="en-GB"/>
              </w:rPr>
            </w:pPr>
            <w:r>
              <w:rPr>
                <w:lang w:val="en-GB"/>
              </w:rPr>
              <w:t>备注</w:t>
            </w:r>
          </w:p>
        </w:tc>
      </w:tr>
      <w:tr w14:paraId="56E3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2FB1AE7">
            <w:pPr>
              <w:jc w:val="center"/>
              <w:rPr>
                <w:lang w:val="en-GB"/>
              </w:rPr>
            </w:pPr>
          </w:p>
        </w:tc>
        <w:tc>
          <w:tcPr>
            <w:tcW w:w="1275" w:type="dxa"/>
          </w:tcPr>
          <w:p w14:paraId="20F9C25B">
            <w:pPr>
              <w:jc w:val="center"/>
              <w:rPr>
                <w:lang w:val="en-GB"/>
              </w:rPr>
            </w:pPr>
          </w:p>
        </w:tc>
        <w:tc>
          <w:tcPr>
            <w:tcW w:w="1560" w:type="dxa"/>
          </w:tcPr>
          <w:p w14:paraId="7965EA14">
            <w:pPr>
              <w:jc w:val="center"/>
              <w:rPr>
                <w:lang w:val="en-GB"/>
              </w:rPr>
            </w:pPr>
          </w:p>
        </w:tc>
        <w:tc>
          <w:tcPr>
            <w:tcW w:w="1701" w:type="dxa"/>
          </w:tcPr>
          <w:p w14:paraId="148483A5">
            <w:pPr>
              <w:jc w:val="center"/>
              <w:rPr>
                <w:lang w:val="en-GB"/>
              </w:rPr>
            </w:pPr>
          </w:p>
        </w:tc>
        <w:tc>
          <w:tcPr>
            <w:tcW w:w="1510" w:type="dxa"/>
          </w:tcPr>
          <w:p w14:paraId="0DFBFFD0">
            <w:pPr>
              <w:jc w:val="center"/>
              <w:rPr>
                <w:lang w:val="en-GB"/>
              </w:rPr>
            </w:pPr>
          </w:p>
        </w:tc>
        <w:tc>
          <w:tcPr>
            <w:tcW w:w="1375" w:type="dxa"/>
          </w:tcPr>
          <w:p w14:paraId="54CFCDF7">
            <w:pPr>
              <w:jc w:val="center"/>
              <w:rPr>
                <w:lang w:val="en-GB"/>
              </w:rPr>
            </w:pPr>
          </w:p>
        </w:tc>
      </w:tr>
      <w:tr w14:paraId="63C8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F321587">
            <w:pPr>
              <w:jc w:val="center"/>
              <w:rPr>
                <w:lang w:val="en-GB"/>
              </w:rPr>
            </w:pPr>
          </w:p>
        </w:tc>
        <w:tc>
          <w:tcPr>
            <w:tcW w:w="1275" w:type="dxa"/>
          </w:tcPr>
          <w:p w14:paraId="2EB63254">
            <w:pPr>
              <w:jc w:val="center"/>
              <w:rPr>
                <w:lang w:val="en-GB"/>
              </w:rPr>
            </w:pPr>
          </w:p>
        </w:tc>
        <w:tc>
          <w:tcPr>
            <w:tcW w:w="1560" w:type="dxa"/>
          </w:tcPr>
          <w:p w14:paraId="753FC545">
            <w:pPr>
              <w:jc w:val="center"/>
              <w:rPr>
                <w:lang w:val="en-GB"/>
              </w:rPr>
            </w:pPr>
          </w:p>
        </w:tc>
        <w:tc>
          <w:tcPr>
            <w:tcW w:w="1701" w:type="dxa"/>
          </w:tcPr>
          <w:p w14:paraId="5670C330">
            <w:pPr>
              <w:jc w:val="center"/>
              <w:rPr>
                <w:lang w:val="en-GB"/>
              </w:rPr>
            </w:pPr>
          </w:p>
        </w:tc>
        <w:tc>
          <w:tcPr>
            <w:tcW w:w="1510" w:type="dxa"/>
          </w:tcPr>
          <w:p w14:paraId="2D4F5261">
            <w:pPr>
              <w:jc w:val="center"/>
              <w:rPr>
                <w:lang w:val="en-GB"/>
              </w:rPr>
            </w:pPr>
          </w:p>
        </w:tc>
        <w:tc>
          <w:tcPr>
            <w:tcW w:w="1375" w:type="dxa"/>
          </w:tcPr>
          <w:p w14:paraId="756421C6">
            <w:pPr>
              <w:jc w:val="center"/>
              <w:rPr>
                <w:lang w:val="en-GB"/>
              </w:rPr>
            </w:pPr>
          </w:p>
        </w:tc>
      </w:tr>
      <w:tr w14:paraId="6485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FC04E91">
            <w:pPr>
              <w:jc w:val="center"/>
              <w:rPr>
                <w:lang w:val="en-GB"/>
              </w:rPr>
            </w:pPr>
          </w:p>
        </w:tc>
        <w:tc>
          <w:tcPr>
            <w:tcW w:w="1275" w:type="dxa"/>
          </w:tcPr>
          <w:p w14:paraId="620E3BD8">
            <w:pPr>
              <w:jc w:val="center"/>
              <w:rPr>
                <w:lang w:val="en-GB"/>
              </w:rPr>
            </w:pPr>
          </w:p>
        </w:tc>
        <w:tc>
          <w:tcPr>
            <w:tcW w:w="1560" w:type="dxa"/>
          </w:tcPr>
          <w:p w14:paraId="10014BDE">
            <w:pPr>
              <w:jc w:val="center"/>
              <w:rPr>
                <w:lang w:val="en-GB"/>
              </w:rPr>
            </w:pPr>
          </w:p>
        </w:tc>
        <w:tc>
          <w:tcPr>
            <w:tcW w:w="1701" w:type="dxa"/>
          </w:tcPr>
          <w:p w14:paraId="55F0424F">
            <w:pPr>
              <w:jc w:val="center"/>
              <w:rPr>
                <w:lang w:val="en-GB"/>
              </w:rPr>
            </w:pPr>
          </w:p>
        </w:tc>
        <w:tc>
          <w:tcPr>
            <w:tcW w:w="1510" w:type="dxa"/>
          </w:tcPr>
          <w:p w14:paraId="77B49DD3">
            <w:pPr>
              <w:jc w:val="center"/>
              <w:rPr>
                <w:lang w:val="en-GB"/>
              </w:rPr>
            </w:pPr>
          </w:p>
        </w:tc>
        <w:tc>
          <w:tcPr>
            <w:tcW w:w="1375" w:type="dxa"/>
          </w:tcPr>
          <w:p w14:paraId="118F86AC">
            <w:pPr>
              <w:jc w:val="center"/>
              <w:rPr>
                <w:lang w:val="en-GB"/>
              </w:rPr>
            </w:pPr>
          </w:p>
        </w:tc>
      </w:tr>
      <w:tr w14:paraId="63B6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7662A8">
            <w:pPr>
              <w:jc w:val="center"/>
              <w:rPr>
                <w:lang w:val="en-GB"/>
              </w:rPr>
            </w:pPr>
          </w:p>
        </w:tc>
        <w:tc>
          <w:tcPr>
            <w:tcW w:w="1275" w:type="dxa"/>
          </w:tcPr>
          <w:p w14:paraId="3B1223CF">
            <w:pPr>
              <w:jc w:val="center"/>
              <w:rPr>
                <w:lang w:val="en-GB"/>
              </w:rPr>
            </w:pPr>
          </w:p>
        </w:tc>
        <w:tc>
          <w:tcPr>
            <w:tcW w:w="1560" w:type="dxa"/>
          </w:tcPr>
          <w:p w14:paraId="04B13448">
            <w:pPr>
              <w:jc w:val="center"/>
              <w:rPr>
                <w:lang w:val="en-GB"/>
              </w:rPr>
            </w:pPr>
          </w:p>
        </w:tc>
        <w:tc>
          <w:tcPr>
            <w:tcW w:w="1701" w:type="dxa"/>
          </w:tcPr>
          <w:p w14:paraId="578067C3">
            <w:pPr>
              <w:jc w:val="center"/>
              <w:rPr>
                <w:lang w:val="en-GB"/>
              </w:rPr>
            </w:pPr>
          </w:p>
        </w:tc>
        <w:tc>
          <w:tcPr>
            <w:tcW w:w="1510" w:type="dxa"/>
          </w:tcPr>
          <w:p w14:paraId="225CD057">
            <w:pPr>
              <w:jc w:val="center"/>
              <w:rPr>
                <w:lang w:val="en-GB"/>
              </w:rPr>
            </w:pPr>
          </w:p>
        </w:tc>
        <w:tc>
          <w:tcPr>
            <w:tcW w:w="1375" w:type="dxa"/>
          </w:tcPr>
          <w:p w14:paraId="0F4A56FC">
            <w:pPr>
              <w:jc w:val="center"/>
              <w:rPr>
                <w:lang w:val="en-GB"/>
              </w:rPr>
            </w:pPr>
          </w:p>
        </w:tc>
      </w:tr>
      <w:tr w14:paraId="7129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A63679">
            <w:pPr>
              <w:jc w:val="center"/>
              <w:rPr>
                <w:lang w:val="en-GB"/>
              </w:rPr>
            </w:pPr>
          </w:p>
        </w:tc>
        <w:tc>
          <w:tcPr>
            <w:tcW w:w="1275" w:type="dxa"/>
          </w:tcPr>
          <w:p w14:paraId="53C5D67A">
            <w:pPr>
              <w:jc w:val="center"/>
              <w:rPr>
                <w:lang w:val="en-GB"/>
              </w:rPr>
            </w:pPr>
          </w:p>
        </w:tc>
        <w:tc>
          <w:tcPr>
            <w:tcW w:w="1560" w:type="dxa"/>
          </w:tcPr>
          <w:p w14:paraId="35FA0A1E">
            <w:pPr>
              <w:jc w:val="center"/>
              <w:rPr>
                <w:lang w:val="en-GB"/>
              </w:rPr>
            </w:pPr>
          </w:p>
        </w:tc>
        <w:tc>
          <w:tcPr>
            <w:tcW w:w="1701" w:type="dxa"/>
          </w:tcPr>
          <w:p w14:paraId="38AEF44E">
            <w:pPr>
              <w:jc w:val="center"/>
              <w:rPr>
                <w:lang w:val="en-GB"/>
              </w:rPr>
            </w:pPr>
          </w:p>
        </w:tc>
        <w:tc>
          <w:tcPr>
            <w:tcW w:w="1510" w:type="dxa"/>
          </w:tcPr>
          <w:p w14:paraId="181D8A7E">
            <w:pPr>
              <w:jc w:val="center"/>
              <w:rPr>
                <w:lang w:val="en-GB"/>
              </w:rPr>
            </w:pPr>
          </w:p>
        </w:tc>
        <w:tc>
          <w:tcPr>
            <w:tcW w:w="1375" w:type="dxa"/>
          </w:tcPr>
          <w:p w14:paraId="398F974E">
            <w:pPr>
              <w:jc w:val="center"/>
              <w:rPr>
                <w:lang w:val="en-GB"/>
              </w:rPr>
            </w:pPr>
          </w:p>
        </w:tc>
      </w:tr>
      <w:tr w14:paraId="3020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4E526A6">
            <w:pPr>
              <w:jc w:val="center"/>
              <w:rPr>
                <w:lang w:val="en-GB"/>
              </w:rPr>
            </w:pPr>
          </w:p>
        </w:tc>
        <w:tc>
          <w:tcPr>
            <w:tcW w:w="1275" w:type="dxa"/>
          </w:tcPr>
          <w:p w14:paraId="53BE7E01">
            <w:pPr>
              <w:jc w:val="center"/>
              <w:rPr>
                <w:lang w:val="en-GB"/>
              </w:rPr>
            </w:pPr>
          </w:p>
        </w:tc>
        <w:tc>
          <w:tcPr>
            <w:tcW w:w="1560" w:type="dxa"/>
          </w:tcPr>
          <w:p w14:paraId="602C2579">
            <w:pPr>
              <w:jc w:val="center"/>
              <w:rPr>
                <w:lang w:val="en-GB"/>
              </w:rPr>
            </w:pPr>
          </w:p>
        </w:tc>
        <w:tc>
          <w:tcPr>
            <w:tcW w:w="1701" w:type="dxa"/>
          </w:tcPr>
          <w:p w14:paraId="47A95E71">
            <w:pPr>
              <w:jc w:val="center"/>
              <w:rPr>
                <w:lang w:val="en-GB"/>
              </w:rPr>
            </w:pPr>
          </w:p>
        </w:tc>
        <w:tc>
          <w:tcPr>
            <w:tcW w:w="1510" w:type="dxa"/>
          </w:tcPr>
          <w:p w14:paraId="09695405">
            <w:pPr>
              <w:jc w:val="center"/>
              <w:rPr>
                <w:lang w:val="en-GB"/>
              </w:rPr>
            </w:pPr>
          </w:p>
        </w:tc>
        <w:tc>
          <w:tcPr>
            <w:tcW w:w="1375" w:type="dxa"/>
          </w:tcPr>
          <w:p w14:paraId="60700C6B">
            <w:pPr>
              <w:jc w:val="center"/>
              <w:rPr>
                <w:lang w:val="en-GB"/>
              </w:rPr>
            </w:pPr>
          </w:p>
        </w:tc>
      </w:tr>
      <w:tr w14:paraId="6538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3A476A">
            <w:pPr>
              <w:jc w:val="center"/>
              <w:rPr>
                <w:lang w:val="en-GB"/>
              </w:rPr>
            </w:pPr>
          </w:p>
        </w:tc>
        <w:tc>
          <w:tcPr>
            <w:tcW w:w="1275" w:type="dxa"/>
          </w:tcPr>
          <w:p w14:paraId="6C4312D7">
            <w:pPr>
              <w:jc w:val="center"/>
              <w:rPr>
                <w:lang w:val="en-GB"/>
              </w:rPr>
            </w:pPr>
          </w:p>
        </w:tc>
        <w:tc>
          <w:tcPr>
            <w:tcW w:w="1560" w:type="dxa"/>
          </w:tcPr>
          <w:p w14:paraId="747C0E95">
            <w:pPr>
              <w:jc w:val="center"/>
              <w:rPr>
                <w:lang w:val="en-GB"/>
              </w:rPr>
            </w:pPr>
          </w:p>
        </w:tc>
        <w:tc>
          <w:tcPr>
            <w:tcW w:w="1701" w:type="dxa"/>
          </w:tcPr>
          <w:p w14:paraId="1F208F95">
            <w:pPr>
              <w:jc w:val="center"/>
              <w:rPr>
                <w:lang w:val="en-GB"/>
              </w:rPr>
            </w:pPr>
          </w:p>
        </w:tc>
        <w:tc>
          <w:tcPr>
            <w:tcW w:w="1510" w:type="dxa"/>
          </w:tcPr>
          <w:p w14:paraId="6A9628A5">
            <w:pPr>
              <w:jc w:val="center"/>
              <w:rPr>
                <w:lang w:val="en-GB"/>
              </w:rPr>
            </w:pPr>
          </w:p>
        </w:tc>
        <w:tc>
          <w:tcPr>
            <w:tcW w:w="1375" w:type="dxa"/>
          </w:tcPr>
          <w:p w14:paraId="34BB3997">
            <w:pPr>
              <w:jc w:val="center"/>
              <w:rPr>
                <w:lang w:val="en-GB"/>
              </w:rPr>
            </w:pPr>
          </w:p>
        </w:tc>
      </w:tr>
      <w:tr w14:paraId="2EA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F989E2B">
            <w:pPr>
              <w:jc w:val="center"/>
              <w:rPr>
                <w:lang w:val="en-GB"/>
              </w:rPr>
            </w:pPr>
          </w:p>
        </w:tc>
        <w:tc>
          <w:tcPr>
            <w:tcW w:w="1275" w:type="dxa"/>
          </w:tcPr>
          <w:p w14:paraId="1AD18E03">
            <w:pPr>
              <w:jc w:val="center"/>
              <w:rPr>
                <w:lang w:val="en-GB"/>
              </w:rPr>
            </w:pPr>
          </w:p>
        </w:tc>
        <w:tc>
          <w:tcPr>
            <w:tcW w:w="1560" w:type="dxa"/>
          </w:tcPr>
          <w:p w14:paraId="3D6B79B0">
            <w:pPr>
              <w:jc w:val="center"/>
              <w:rPr>
                <w:lang w:val="en-GB"/>
              </w:rPr>
            </w:pPr>
          </w:p>
        </w:tc>
        <w:tc>
          <w:tcPr>
            <w:tcW w:w="1701" w:type="dxa"/>
          </w:tcPr>
          <w:p w14:paraId="15F3AF5B">
            <w:pPr>
              <w:jc w:val="center"/>
              <w:rPr>
                <w:lang w:val="en-GB"/>
              </w:rPr>
            </w:pPr>
          </w:p>
        </w:tc>
        <w:tc>
          <w:tcPr>
            <w:tcW w:w="1510" w:type="dxa"/>
          </w:tcPr>
          <w:p w14:paraId="45507D7A">
            <w:pPr>
              <w:jc w:val="center"/>
              <w:rPr>
                <w:lang w:val="en-GB"/>
              </w:rPr>
            </w:pPr>
          </w:p>
        </w:tc>
        <w:tc>
          <w:tcPr>
            <w:tcW w:w="1375" w:type="dxa"/>
          </w:tcPr>
          <w:p w14:paraId="65DD9456">
            <w:pPr>
              <w:jc w:val="center"/>
              <w:rPr>
                <w:lang w:val="en-GB"/>
              </w:rPr>
            </w:pPr>
          </w:p>
        </w:tc>
      </w:tr>
      <w:tr w14:paraId="0CF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C70DB29">
            <w:pPr>
              <w:jc w:val="center"/>
              <w:rPr>
                <w:lang w:val="en-GB"/>
              </w:rPr>
            </w:pPr>
          </w:p>
        </w:tc>
        <w:tc>
          <w:tcPr>
            <w:tcW w:w="1275" w:type="dxa"/>
          </w:tcPr>
          <w:p w14:paraId="143F548A">
            <w:pPr>
              <w:jc w:val="center"/>
              <w:rPr>
                <w:lang w:val="en-GB"/>
              </w:rPr>
            </w:pPr>
          </w:p>
        </w:tc>
        <w:tc>
          <w:tcPr>
            <w:tcW w:w="1560" w:type="dxa"/>
          </w:tcPr>
          <w:p w14:paraId="6D0BEB94">
            <w:pPr>
              <w:jc w:val="center"/>
              <w:rPr>
                <w:lang w:val="en-GB"/>
              </w:rPr>
            </w:pPr>
          </w:p>
        </w:tc>
        <w:tc>
          <w:tcPr>
            <w:tcW w:w="1701" w:type="dxa"/>
          </w:tcPr>
          <w:p w14:paraId="09792064">
            <w:pPr>
              <w:jc w:val="center"/>
              <w:rPr>
                <w:lang w:val="en-GB"/>
              </w:rPr>
            </w:pPr>
          </w:p>
        </w:tc>
        <w:tc>
          <w:tcPr>
            <w:tcW w:w="1510" w:type="dxa"/>
          </w:tcPr>
          <w:p w14:paraId="0524C950">
            <w:pPr>
              <w:jc w:val="center"/>
              <w:rPr>
                <w:lang w:val="en-GB"/>
              </w:rPr>
            </w:pPr>
          </w:p>
        </w:tc>
        <w:tc>
          <w:tcPr>
            <w:tcW w:w="1375" w:type="dxa"/>
          </w:tcPr>
          <w:p w14:paraId="6A2CA3A0">
            <w:pPr>
              <w:jc w:val="center"/>
              <w:rPr>
                <w:lang w:val="en-GB"/>
              </w:rPr>
            </w:pPr>
          </w:p>
        </w:tc>
      </w:tr>
      <w:tr w14:paraId="11B1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83ABC3">
            <w:pPr>
              <w:jc w:val="center"/>
              <w:rPr>
                <w:lang w:val="en-GB"/>
              </w:rPr>
            </w:pPr>
          </w:p>
        </w:tc>
        <w:tc>
          <w:tcPr>
            <w:tcW w:w="1275" w:type="dxa"/>
          </w:tcPr>
          <w:p w14:paraId="487183F6">
            <w:pPr>
              <w:jc w:val="center"/>
              <w:rPr>
                <w:lang w:val="en-GB"/>
              </w:rPr>
            </w:pPr>
          </w:p>
        </w:tc>
        <w:tc>
          <w:tcPr>
            <w:tcW w:w="1560" w:type="dxa"/>
          </w:tcPr>
          <w:p w14:paraId="6FEDCAE6">
            <w:pPr>
              <w:jc w:val="center"/>
              <w:rPr>
                <w:lang w:val="en-GB"/>
              </w:rPr>
            </w:pPr>
          </w:p>
        </w:tc>
        <w:tc>
          <w:tcPr>
            <w:tcW w:w="1701" w:type="dxa"/>
          </w:tcPr>
          <w:p w14:paraId="2B8D7023">
            <w:pPr>
              <w:jc w:val="center"/>
              <w:rPr>
                <w:lang w:val="en-GB"/>
              </w:rPr>
            </w:pPr>
          </w:p>
        </w:tc>
        <w:tc>
          <w:tcPr>
            <w:tcW w:w="1510" w:type="dxa"/>
          </w:tcPr>
          <w:p w14:paraId="35955E0E">
            <w:pPr>
              <w:jc w:val="center"/>
              <w:rPr>
                <w:lang w:val="en-GB"/>
              </w:rPr>
            </w:pPr>
          </w:p>
        </w:tc>
        <w:tc>
          <w:tcPr>
            <w:tcW w:w="1375" w:type="dxa"/>
          </w:tcPr>
          <w:p w14:paraId="68179891">
            <w:pPr>
              <w:jc w:val="center"/>
              <w:rPr>
                <w:lang w:val="en-GB"/>
              </w:rPr>
            </w:pPr>
          </w:p>
        </w:tc>
      </w:tr>
      <w:tr w14:paraId="668A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890CF84">
            <w:pPr>
              <w:jc w:val="center"/>
              <w:rPr>
                <w:lang w:val="en-GB"/>
              </w:rPr>
            </w:pPr>
          </w:p>
        </w:tc>
        <w:tc>
          <w:tcPr>
            <w:tcW w:w="1275" w:type="dxa"/>
          </w:tcPr>
          <w:p w14:paraId="06FE4436">
            <w:pPr>
              <w:jc w:val="center"/>
              <w:rPr>
                <w:lang w:val="en-GB"/>
              </w:rPr>
            </w:pPr>
          </w:p>
        </w:tc>
        <w:tc>
          <w:tcPr>
            <w:tcW w:w="1560" w:type="dxa"/>
          </w:tcPr>
          <w:p w14:paraId="06F8C2BD">
            <w:pPr>
              <w:jc w:val="center"/>
              <w:rPr>
                <w:lang w:val="en-GB"/>
              </w:rPr>
            </w:pPr>
          </w:p>
        </w:tc>
        <w:tc>
          <w:tcPr>
            <w:tcW w:w="1701" w:type="dxa"/>
          </w:tcPr>
          <w:p w14:paraId="6248E8B9">
            <w:pPr>
              <w:jc w:val="center"/>
              <w:rPr>
                <w:lang w:val="en-GB"/>
              </w:rPr>
            </w:pPr>
          </w:p>
        </w:tc>
        <w:tc>
          <w:tcPr>
            <w:tcW w:w="1510" w:type="dxa"/>
          </w:tcPr>
          <w:p w14:paraId="2AED6106">
            <w:pPr>
              <w:jc w:val="center"/>
              <w:rPr>
                <w:lang w:val="en-GB"/>
              </w:rPr>
            </w:pPr>
          </w:p>
        </w:tc>
        <w:tc>
          <w:tcPr>
            <w:tcW w:w="1375" w:type="dxa"/>
          </w:tcPr>
          <w:p w14:paraId="1746984B">
            <w:pPr>
              <w:jc w:val="center"/>
              <w:rPr>
                <w:lang w:val="en-GB"/>
              </w:rPr>
            </w:pPr>
          </w:p>
        </w:tc>
      </w:tr>
      <w:tr w14:paraId="522E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EBBA3B7">
            <w:pPr>
              <w:jc w:val="center"/>
              <w:rPr>
                <w:lang w:val="en-GB"/>
              </w:rPr>
            </w:pPr>
          </w:p>
        </w:tc>
        <w:tc>
          <w:tcPr>
            <w:tcW w:w="1275" w:type="dxa"/>
          </w:tcPr>
          <w:p w14:paraId="5B631713">
            <w:pPr>
              <w:jc w:val="center"/>
              <w:rPr>
                <w:lang w:val="en-GB"/>
              </w:rPr>
            </w:pPr>
          </w:p>
        </w:tc>
        <w:tc>
          <w:tcPr>
            <w:tcW w:w="1560" w:type="dxa"/>
          </w:tcPr>
          <w:p w14:paraId="4E20A814">
            <w:pPr>
              <w:jc w:val="center"/>
              <w:rPr>
                <w:lang w:val="en-GB"/>
              </w:rPr>
            </w:pPr>
          </w:p>
        </w:tc>
        <w:tc>
          <w:tcPr>
            <w:tcW w:w="1701" w:type="dxa"/>
          </w:tcPr>
          <w:p w14:paraId="07C82D65">
            <w:pPr>
              <w:jc w:val="center"/>
              <w:rPr>
                <w:lang w:val="en-GB"/>
              </w:rPr>
            </w:pPr>
          </w:p>
        </w:tc>
        <w:tc>
          <w:tcPr>
            <w:tcW w:w="1510" w:type="dxa"/>
          </w:tcPr>
          <w:p w14:paraId="0A45FAF0">
            <w:pPr>
              <w:jc w:val="center"/>
              <w:rPr>
                <w:lang w:val="en-GB"/>
              </w:rPr>
            </w:pPr>
          </w:p>
        </w:tc>
        <w:tc>
          <w:tcPr>
            <w:tcW w:w="1375" w:type="dxa"/>
          </w:tcPr>
          <w:p w14:paraId="59D1DEF9">
            <w:pPr>
              <w:jc w:val="center"/>
              <w:rPr>
                <w:lang w:val="en-GB"/>
              </w:rPr>
            </w:pPr>
          </w:p>
        </w:tc>
      </w:tr>
      <w:tr w14:paraId="484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686C0A">
            <w:pPr>
              <w:jc w:val="center"/>
              <w:rPr>
                <w:lang w:val="en-GB"/>
              </w:rPr>
            </w:pPr>
          </w:p>
        </w:tc>
        <w:tc>
          <w:tcPr>
            <w:tcW w:w="1275" w:type="dxa"/>
          </w:tcPr>
          <w:p w14:paraId="6189CC22">
            <w:pPr>
              <w:jc w:val="center"/>
              <w:rPr>
                <w:lang w:val="en-GB"/>
              </w:rPr>
            </w:pPr>
          </w:p>
        </w:tc>
        <w:tc>
          <w:tcPr>
            <w:tcW w:w="1560" w:type="dxa"/>
          </w:tcPr>
          <w:p w14:paraId="542BA775">
            <w:pPr>
              <w:jc w:val="center"/>
              <w:rPr>
                <w:lang w:val="en-GB"/>
              </w:rPr>
            </w:pPr>
          </w:p>
        </w:tc>
        <w:tc>
          <w:tcPr>
            <w:tcW w:w="1701" w:type="dxa"/>
          </w:tcPr>
          <w:p w14:paraId="6FA4C2C6">
            <w:pPr>
              <w:jc w:val="center"/>
              <w:rPr>
                <w:lang w:val="en-GB"/>
              </w:rPr>
            </w:pPr>
          </w:p>
        </w:tc>
        <w:tc>
          <w:tcPr>
            <w:tcW w:w="1510" w:type="dxa"/>
          </w:tcPr>
          <w:p w14:paraId="702A861C">
            <w:pPr>
              <w:jc w:val="center"/>
              <w:rPr>
                <w:lang w:val="en-GB"/>
              </w:rPr>
            </w:pPr>
          </w:p>
        </w:tc>
        <w:tc>
          <w:tcPr>
            <w:tcW w:w="1375" w:type="dxa"/>
          </w:tcPr>
          <w:p w14:paraId="4F2405CA">
            <w:pPr>
              <w:jc w:val="center"/>
              <w:rPr>
                <w:lang w:val="en-GB"/>
              </w:rPr>
            </w:pPr>
          </w:p>
        </w:tc>
      </w:tr>
      <w:tr w14:paraId="5202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7C62183">
            <w:pPr>
              <w:jc w:val="center"/>
              <w:rPr>
                <w:lang w:val="en-GB"/>
              </w:rPr>
            </w:pPr>
          </w:p>
        </w:tc>
        <w:tc>
          <w:tcPr>
            <w:tcW w:w="1275" w:type="dxa"/>
          </w:tcPr>
          <w:p w14:paraId="0428D9D3">
            <w:pPr>
              <w:jc w:val="center"/>
              <w:rPr>
                <w:lang w:val="en-GB"/>
              </w:rPr>
            </w:pPr>
          </w:p>
        </w:tc>
        <w:tc>
          <w:tcPr>
            <w:tcW w:w="1560" w:type="dxa"/>
          </w:tcPr>
          <w:p w14:paraId="3C3F3221">
            <w:pPr>
              <w:jc w:val="center"/>
              <w:rPr>
                <w:lang w:val="en-GB"/>
              </w:rPr>
            </w:pPr>
          </w:p>
        </w:tc>
        <w:tc>
          <w:tcPr>
            <w:tcW w:w="1701" w:type="dxa"/>
          </w:tcPr>
          <w:p w14:paraId="236F186D">
            <w:pPr>
              <w:jc w:val="center"/>
              <w:rPr>
                <w:lang w:val="en-GB"/>
              </w:rPr>
            </w:pPr>
          </w:p>
        </w:tc>
        <w:tc>
          <w:tcPr>
            <w:tcW w:w="1510" w:type="dxa"/>
          </w:tcPr>
          <w:p w14:paraId="3EDC9740">
            <w:pPr>
              <w:jc w:val="center"/>
              <w:rPr>
                <w:lang w:val="en-GB"/>
              </w:rPr>
            </w:pPr>
          </w:p>
        </w:tc>
        <w:tc>
          <w:tcPr>
            <w:tcW w:w="1375" w:type="dxa"/>
          </w:tcPr>
          <w:p w14:paraId="48A4EC82">
            <w:pPr>
              <w:jc w:val="center"/>
              <w:rPr>
                <w:lang w:val="en-GB"/>
              </w:rPr>
            </w:pPr>
          </w:p>
        </w:tc>
      </w:tr>
      <w:tr w14:paraId="79F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65E162">
            <w:pPr>
              <w:jc w:val="center"/>
              <w:rPr>
                <w:lang w:val="en-GB"/>
              </w:rPr>
            </w:pPr>
          </w:p>
        </w:tc>
        <w:tc>
          <w:tcPr>
            <w:tcW w:w="1275" w:type="dxa"/>
          </w:tcPr>
          <w:p w14:paraId="515CB4BC">
            <w:pPr>
              <w:jc w:val="center"/>
              <w:rPr>
                <w:lang w:val="en-GB"/>
              </w:rPr>
            </w:pPr>
          </w:p>
        </w:tc>
        <w:tc>
          <w:tcPr>
            <w:tcW w:w="1560" w:type="dxa"/>
          </w:tcPr>
          <w:p w14:paraId="5083F7B2">
            <w:pPr>
              <w:jc w:val="center"/>
              <w:rPr>
                <w:lang w:val="en-GB"/>
              </w:rPr>
            </w:pPr>
          </w:p>
        </w:tc>
        <w:tc>
          <w:tcPr>
            <w:tcW w:w="1701" w:type="dxa"/>
          </w:tcPr>
          <w:p w14:paraId="4C671ACF">
            <w:pPr>
              <w:jc w:val="center"/>
              <w:rPr>
                <w:lang w:val="en-GB"/>
              </w:rPr>
            </w:pPr>
          </w:p>
        </w:tc>
        <w:tc>
          <w:tcPr>
            <w:tcW w:w="1510" w:type="dxa"/>
          </w:tcPr>
          <w:p w14:paraId="28C919DB">
            <w:pPr>
              <w:jc w:val="center"/>
              <w:rPr>
                <w:lang w:val="en-GB"/>
              </w:rPr>
            </w:pPr>
          </w:p>
        </w:tc>
        <w:tc>
          <w:tcPr>
            <w:tcW w:w="1375" w:type="dxa"/>
          </w:tcPr>
          <w:p w14:paraId="709C021C">
            <w:pPr>
              <w:jc w:val="center"/>
              <w:rPr>
                <w:lang w:val="en-GB"/>
              </w:rPr>
            </w:pPr>
          </w:p>
        </w:tc>
      </w:tr>
      <w:tr w14:paraId="27B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6B0571">
            <w:pPr>
              <w:jc w:val="center"/>
              <w:rPr>
                <w:lang w:val="en-GB"/>
              </w:rPr>
            </w:pPr>
          </w:p>
        </w:tc>
        <w:tc>
          <w:tcPr>
            <w:tcW w:w="1275" w:type="dxa"/>
          </w:tcPr>
          <w:p w14:paraId="08721516">
            <w:pPr>
              <w:jc w:val="center"/>
              <w:rPr>
                <w:lang w:val="en-GB"/>
              </w:rPr>
            </w:pPr>
          </w:p>
        </w:tc>
        <w:tc>
          <w:tcPr>
            <w:tcW w:w="1560" w:type="dxa"/>
          </w:tcPr>
          <w:p w14:paraId="143297FD">
            <w:pPr>
              <w:jc w:val="center"/>
              <w:rPr>
                <w:lang w:val="en-GB"/>
              </w:rPr>
            </w:pPr>
          </w:p>
        </w:tc>
        <w:tc>
          <w:tcPr>
            <w:tcW w:w="1701" w:type="dxa"/>
          </w:tcPr>
          <w:p w14:paraId="7238927E">
            <w:pPr>
              <w:jc w:val="center"/>
              <w:rPr>
                <w:lang w:val="en-GB"/>
              </w:rPr>
            </w:pPr>
          </w:p>
        </w:tc>
        <w:tc>
          <w:tcPr>
            <w:tcW w:w="1510" w:type="dxa"/>
          </w:tcPr>
          <w:p w14:paraId="6D1AEFAC">
            <w:pPr>
              <w:jc w:val="center"/>
              <w:rPr>
                <w:lang w:val="en-GB"/>
              </w:rPr>
            </w:pPr>
          </w:p>
        </w:tc>
        <w:tc>
          <w:tcPr>
            <w:tcW w:w="1375" w:type="dxa"/>
          </w:tcPr>
          <w:p w14:paraId="7F0768CA">
            <w:pPr>
              <w:jc w:val="center"/>
              <w:rPr>
                <w:lang w:val="en-GB"/>
              </w:rPr>
            </w:pPr>
          </w:p>
        </w:tc>
      </w:tr>
      <w:tr w14:paraId="5EBC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F30DDED">
            <w:pPr>
              <w:jc w:val="center"/>
              <w:rPr>
                <w:lang w:val="en-GB"/>
              </w:rPr>
            </w:pPr>
          </w:p>
        </w:tc>
        <w:tc>
          <w:tcPr>
            <w:tcW w:w="1275" w:type="dxa"/>
          </w:tcPr>
          <w:p w14:paraId="77A0724F">
            <w:pPr>
              <w:jc w:val="center"/>
              <w:rPr>
                <w:lang w:val="en-GB"/>
              </w:rPr>
            </w:pPr>
          </w:p>
        </w:tc>
        <w:tc>
          <w:tcPr>
            <w:tcW w:w="1560" w:type="dxa"/>
          </w:tcPr>
          <w:p w14:paraId="3793742B">
            <w:pPr>
              <w:jc w:val="center"/>
              <w:rPr>
                <w:lang w:val="en-GB"/>
              </w:rPr>
            </w:pPr>
          </w:p>
        </w:tc>
        <w:tc>
          <w:tcPr>
            <w:tcW w:w="1701" w:type="dxa"/>
          </w:tcPr>
          <w:p w14:paraId="34D367F6">
            <w:pPr>
              <w:jc w:val="center"/>
              <w:rPr>
                <w:lang w:val="en-GB"/>
              </w:rPr>
            </w:pPr>
          </w:p>
        </w:tc>
        <w:tc>
          <w:tcPr>
            <w:tcW w:w="1510" w:type="dxa"/>
          </w:tcPr>
          <w:p w14:paraId="6585412B">
            <w:pPr>
              <w:jc w:val="center"/>
              <w:rPr>
                <w:lang w:val="en-GB"/>
              </w:rPr>
            </w:pPr>
          </w:p>
        </w:tc>
        <w:tc>
          <w:tcPr>
            <w:tcW w:w="1375" w:type="dxa"/>
          </w:tcPr>
          <w:p w14:paraId="796458A0">
            <w:pPr>
              <w:jc w:val="center"/>
              <w:rPr>
                <w:lang w:val="en-GB"/>
              </w:rPr>
            </w:pPr>
          </w:p>
        </w:tc>
      </w:tr>
      <w:tr w14:paraId="5C0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A434FD0">
            <w:pPr>
              <w:jc w:val="center"/>
              <w:rPr>
                <w:lang w:val="en-GB"/>
              </w:rPr>
            </w:pPr>
          </w:p>
        </w:tc>
        <w:tc>
          <w:tcPr>
            <w:tcW w:w="1275" w:type="dxa"/>
          </w:tcPr>
          <w:p w14:paraId="56022894">
            <w:pPr>
              <w:jc w:val="center"/>
              <w:rPr>
                <w:lang w:val="en-GB"/>
              </w:rPr>
            </w:pPr>
          </w:p>
        </w:tc>
        <w:tc>
          <w:tcPr>
            <w:tcW w:w="1560" w:type="dxa"/>
          </w:tcPr>
          <w:p w14:paraId="5DEF5C59">
            <w:pPr>
              <w:jc w:val="center"/>
              <w:rPr>
                <w:lang w:val="en-GB"/>
              </w:rPr>
            </w:pPr>
          </w:p>
        </w:tc>
        <w:tc>
          <w:tcPr>
            <w:tcW w:w="1701" w:type="dxa"/>
          </w:tcPr>
          <w:p w14:paraId="6FC8AC1C">
            <w:pPr>
              <w:jc w:val="center"/>
              <w:rPr>
                <w:lang w:val="en-GB"/>
              </w:rPr>
            </w:pPr>
          </w:p>
        </w:tc>
        <w:tc>
          <w:tcPr>
            <w:tcW w:w="1510" w:type="dxa"/>
          </w:tcPr>
          <w:p w14:paraId="448C84D7">
            <w:pPr>
              <w:jc w:val="center"/>
              <w:rPr>
                <w:lang w:val="en-GB"/>
              </w:rPr>
            </w:pPr>
          </w:p>
        </w:tc>
        <w:tc>
          <w:tcPr>
            <w:tcW w:w="1375" w:type="dxa"/>
          </w:tcPr>
          <w:p w14:paraId="4FDA261D">
            <w:pPr>
              <w:jc w:val="center"/>
              <w:rPr>
                <w:lang w:val="en-GB"/>
              </w:rPr>
            </w:pPr>
          </w:p>
        </w:tc>
      </w:tr>
      <w:tr w14:paraId="1E43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D8908B1">
            <w:pPr>
              <w:jc w:val="center"/>
              <w:rPr>
                <w:lang w:val="en-GB"/>
              </w:rPr>
            </w:pPr>
          </w:p>
        </w:tc>
        <w:tc>
          <w:tcPr>
            <w:tcW w:w="1275" w:type="dxa"/>
          </w:tcPr>
          <w:p w14:paraId="70FEB6E5">
            <w:pPr>
              <w:jc w:val="center"/>
              <w:rPr>
                <w:lang w:val="en-GB"/>
              </w:rPr>
            </w:pPr>
          </w:p>
        </w:tc>
        <w:tc>
          <w:tcPr>
            <w:tcW w:w="1560" w:type="dxa"/>
          </w:tcPr>
          <w:p w14:paraId="723DD053">
            <w:pPr>
              <w:jc w:val="center"/>
              <w:rPr>
                <w:lang w:val="en-GB"/>
              </w:rPr>
            </w:pPr>
          </w:p>
        </w:tc>
        <w:tc>
          <w:tcPr>
            <w:tcW w:w="1701" w:type="dxa"/>
          </w:tcPr>
          <w:p w14:paraId="160D37DD">
            <w:pPr>
              <w:jc w:val="center"/>
              <w:rPr>
                <w:lang w:val="en-GB"/>
              </w:rPr>
            </w:pPr>
          </w:p>
        </w:tc>
        <w:tc>
          <w:tcPr>
            <w:tcW w:w="1510" w:type="dxa"/>
          </w:tcPr>
          <w:p w14:paraId="25D98399">
            <w:pPr>
              <w:jc w:val="center"/>
              <w:rPr>
                <w:lang w:val="en-GB"/>
              </w:rPr>
            </w:pPr>
          </w:p>
        </w:tc>
        <w:tc>
          <w:tcPr>
            <w:tcW w:w="1375" w:type="dxa"/>
          </w:tcPr>
          <w:p w14:paraId="38C12041">
            <w:pPr>
              <w:jc w:val="center"/>
              <w:rPr>
                <w:lang w:val="en-GB"/>
              </w:rPr>
            </w:pPr>
          </w:p>
        </w:tc>
      </w:tr>
      <w:tr w14:paraId="3DD3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15163B3">
            <w:pPr>
              <w:jc w:val="center"/>
              <w:rPr>
                <w:lang w:val="en-GB"/>
              </w:rPr>
            </w:pPr>
          </w:p>
        </w:tc>
        <w:tc>
          <w:tcPr>
            <w:tcW w:w="1275" w:type="dxa"/>
          </w:tcPr>
          <w:p w14:paraId="7F90A212">
            <w:pPr>
              <w:jc w:val="center"/>
              <w:rPr>
                <w:lang w:val="en-GB"/>
              </w:rPr>
            </w:pPr>
          </w:p>
        </w:tc>
        <w:tc>
          <w:tcPr>
            <w:tcW w:w="1560" w:type="dxa"/>
          </w:tcPr>
          <w:p w14:paraId="2E85ECE5">
            <w:pPr>
              <w:jc w:val="center"/>
              <w:rPr>
                <w:lang w:val="en-GB"/>
              </w:rPr>
            </w:pPr>
          </w:p>
        </w:tc>
        <w:tc>
          <w:tcPr>
            <w:tcW w:w="1701" w:type="dxa"/>
          </w:tcPr>
          <w:p w14:paraId="4ADAEEFE">
            <w:pPr>
              <w:jc w:val="center"/>
              <w:rPr>
                <w:lang w:val="en-GB"/>
              </w:rPr>
            </w:pPr>
          </w:p>
        </w:tc>
        <w:tc>
          <w:tcPr>
            <w:tcW w:w="1510" w:type="dxa"/>
          </w:tcPr>
          <w:p w14:paraId="4C558C39">
            <w:pPr>
              <w:jc w:val="center"/>
              <w:rPr>
                <w:lang w:val="en-GB"/>
              </w:rPr>
            </w:pPr>
          </w:p>
        </w:tc>
        <w:tc>
          <w:tcPr>
            <w:tcW w:w="1375" w:type="dxa"/>
          </w:tcPr>
          <w:p w14:paraId="5FBF146D">
            <w:pPr>
              <w:jc w:val="center"/>
              <w:rPr>
                <w:lang w:val="en-GB"/>
              </w:rPr>
            </w:pPr>
          </w:p>
        </w:tc>
      </w:tr>
      <w:tr w14:paraId="5B5F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C3A342F">
            <w:pPr>
              <w:jc w:val="center"/>
              <w:rPr>
                <w:lang w:val="en-GB"/>
              </w:rPr>
            </w:pPr>
          </w:p>
        </w:tc>
        <w:tc>
          <w:tcPr>
            <w:tcW w:w="1275" w:type="dxa"/>
          </w:tcPr>
          <w:p w14:paraId="3FF950F2">
            <w:pPr>
              <w:jc w:val="center"/>
              <w:rPr>
                <w:lang w:val="en-GB"/>
              </w:rPr>
            </w:pPr>
          </w:p>
        </w:tc>
        <w:tc>
          <w:tcPr>
            <w:tcW w:w="1560" w:type="dxa"/>
          </w:tcPr>
          <w:p w14:paraId="0AD8534B">
            <w:pPr>
              <w:jc w:val="center"/>
              <w:rPr>
                <w:lang w:val="en-GB"/>
              </w:rPr>
            </w:pPr>
          </w:p>
        </w:tc>
        <w:tc>
          <w:tcPr>
            <w:tcW w:w="1701" w:type="dxa"/>
          </w:tcPr>
          <w:p w14:paraId="67374546">
            <w:pPr>
              <w:jc w:val="center"/>
              <w:rPr>
                <w:lang w:val="en-GB"/>
              </w:rPr>
            </w:pPr>
          </w:p>
        </w:tc>
        <w:tc>
          <w:tcPr>
            <w:tcW w:w="1510" w:type="dxa"/>
          </w:tcPr>
          <w:p w14:paraId="7CFFC273">
            <w:pPr>
              <w:jc w:val="center"/>
              <w:rPr>
                <w:lang w:val="en-GB"/>
              </w:rPr>
            </w:pPr>
          </w:p>
        </w:tc>
        <w:tc>
          <w:tcPr>
            <w:tcW w:w="1375" w:type="dxa"/>
          </w:tcPr>
          <w:p w14:paraId="17C09E07">
            <w:pPr>
              <w:jc w:val="center"/>
              <w:rPr>
                <w:lang w:val="en-GB"/>
              </w:rPr>
            </w:pPr>
          </w:p>
        </w:tc>
      </w:tr>
    </w:tbl>
    <w:p w14:paraId="0F1904A0">
      <w:pPr>
        <w:rPr>
          <w:lang w:val="en-GB"/>
        </w:rPr>
      </w:pPr>
    </w:p>
    <w:p w14:paraId="44C58532">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3783CC2E">
      <w:pPr>
        <w:snapToGrid w:val="0"/>
        <w:spacing w:line="360" w:lineRule="auto"/>
        <w:rPr>
          <w:rFonts w:ascii="华文仿宋" w:hAnsi="华文仿宋" w:eastAsia="华文仿宋" w:cs="华文仿宋"/>
          <w:sz w:val="24"/>
        </w:rPr>
      </w:pPr>
    </w:p>
    <w:p w14:paraId="40FA9B77">
      <w:pPr>
        <w:snapToGrid w:val="0"/>
        <w:spacing w:line="360" w:lineRule="auto"/>
        <w:rPr>
          <w:rFonts w:ascii="华文仿宋" w:hAnsi="华文仿宋" w:eastAsia="华文仿宋" w:cs="华文仿宋"/>
          <w:sz w:val="24"/>
        </w:rPr>
      </w:pPr>
    </w:p>
    <w:p w14:paraId="283E4FED">
      <w:pPr>
        <w:snapToGrid w:val="0"/>
        <w:spacing w:line="360" w:lineRule="auto"/>
        <w:rPr>
          <w:rFonts w:ascii="华文仿宋" w:hAnsi="华文仿宋" w:eastAsia="华文仿宋" w:cs="华文仿宋"/>
          <w:sz w:val="24"/>
        </w:rPr>
      </w:pPr>
    </w:p>
    <w:p w14:paraId="7CF175D5">
      <w:pPr>
        <w:snapToGrid w:val="0"/>
        <w:spacing w:line="360" w:lineRule="auto"/>
        <w:rPr>
          <w:rFonts w:ascii="华文仿宋" w:hAnsi="华文仿宋" w:eastAsia="华文仿宋" w:cs="华文仿宋"/>
          <w:sz w:val="24"/>
        </w:rPr>
      </w:pPr>
    </w:p>
    <w:p w14:paraId="0A3298D5">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4814C807">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1AC49A8D">
      <w:pPr>
        <w:snapToGrid w:val="0"/>
        <w:spacing w:line="360" w:lineRule="auto"/>
        <w:rPr>
          <w:rFonts w:ascii="华文仿宋" w:hAnsi="华文仿宋" w:eastAsia="华文仿宋" w:cs="华文仿宋"/>
        </w:rPr>
      </w:pPr>
    </w:p>
    <w:bookmarkEnd w:id="1"/>
    <w:p w14:paraId="6CF1A27A">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889B31-2FE2-470C-BFC8-E5016186A4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0D4F404-449C-4634-962D-51F25F2D10E1}"/>
  </w:font>
  <w:font w:name="方正小标宋简体">
    <w:panose1 w:val="02000000000000000000"/>
    <w:charset w:val="86"/>
    <w:family w:val="script"/>
    <w:pitch w:val="default"/>
    <w:sig w:usb0="00000001" w:usb1="08000000" w:usb2="00000000" w:usb3="00000000" w:csb0="00040000" w:csb1="00000000"/>
    <w:embedRegular r:id="rId3" w:fontKey="{D054D57B-FE41-4A15-9D10-0259C2F72292}"/>
  </w:font>
  <w:font w:name="仿宋">
    <w:panose1 w:val="02010609060101010101"/>
    <w:charset w:val="86"/>
    <w:family w:val="modern"/>
    <w:pitch w:val="default"/>
    <w:sig w:usb0="800002BF" w:usb1="38CF7CFA" w:usb2="00000016" w:usb3="00000000" w:csb0="00040001" w:csb1="00000000"/>
    <w:embedRegular r:id="rId4" w:fontKey="{FD9A30A7-77D4-420D-82AA-89A44383E866}"/>
  </w:font>
  <w:font w:name="楷体_GB2312">
    <w:panose1 w:val="02010609030101010101"/>
    <w:charset w:val="86"/>
    <w:family w:val="auto"/>
    <w:pitch w:val="default"/>
    <w:sig w:usb0="00000001" w:usb1="080E0000" w:usb2="00000000" w:usb3="00000000" w:csb0="00040000" w:csb1="00000000"/>
    <w:embedRegular r:id="rId5" w:fontKey="{20836388-AC8C-47BB-B620-DA9AEAD29907}"/>
  </w:font>
  <w:font w:name="华文仿宋">
    <w:panose1 w:val="02010600040101010101"/>
    <w:charset w:val="86"/>
    <w:family w:val="auto"/>
    <w:pitch w:val="default"/>
    <w:sig w:usb0="00000287" w:usb1="080F0000" w:usb2="00000000" w:usb3="00000000" w:csb0="0004009F" w:csb1="DFD70000"/>
    <w:embedRegular r:id="rId6" w:fontKey="{AF7B4B1D-93D8-49B1-AA56-0E7E99BACD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499D1DBF">
        <w:pPr>
          <w:pStyle w:val="5"/>
          <w:jc w:val="center"/>
        </w:pPr>
        <w:r>
          <w:fldChar w:fldCharType="begin"/>
        </w:r>
        <w:r>
          <w:instrText xml:space="preserve"> PAGE   \* MERGEFORMAT </w:instrText>
        </w:r>
        <w:r>
          <w:fldChar w:fldCharType="separate"/>
        </w:r>
        <w:r>
          <w:rPr>
            <w:lang w:val="zh-CN"/>
          </w:rPr>
          <w:t>16</w:t>
        </w:r>
        <w:r>
          <w:fldChar w:fldCharType="end"/>
        </w:r>
      </w:p>
    </w:sdtContent>
  </w:sdt>
  <w:p w14:paraId="6103CB6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5B9D2"/>
    <w:multiLevelType w:val="singleLevel"/>
    <w:tmpl w:val="BF85B9D2"/>
    <w:lvl w:ilvl="0" w:tentative="0">
      <w:start w:val="4"/>
      <w:numFmt w:val="decimal"/>
      <w:suff w:val="nothing"/>
      <w:lvlText w:val="%1．"/>
      <w:lvlJc w:val="left"/>
    </w:lvl>
  </w:abstractNum>
  <w:abstractNum w:abstractNumId="1">
    <w:nsid w:val="294F9720"/>
    <w:multiLevelType w:val="singleLevel"/>
    <w:tmpl w:val="294F9720"/>
    <w:lvl w:ilvl="0" w:tentative="0">
      <w:start w:val="7"/>
      <w:numFmt w:val="decimal"/>
      <w:suff w:val="space"/>
      <w:lvlText w:val="%1."/>
      <w:lvlJc w:val="left"/>
    </w:lvl>
  </w:abstractNum>
  <w:abstractNum w:abstractNumId="2">
    <w:nsid w:val="414E1153"/>
    <w:multiLevelType w:val="singleLevel"/>
    <w:tmpl w:val="414E1153"/>
    <w:lvl w:ilvl="0" w:tentative="0">
      <w:start w:val="3"/>
      <w:numFmt w:val="decimal"/>
      <w:suff w:val="space"/>
      <w:lvlText w:val="%1."/>
      <w:lvlJc w:val="left"/>
    </w:lvl>
  </w:abstractNum>
  <w:abstractNum w:abstractNumId="3">
    <w:nsid w:val="56AB05CE"/>
    <w:multiLevelType w:val="singleLevel"/>
    <w:tmpl w:val="56AB05CE"/>
    <w:lvl w:ilvl="0" w:tentative="0">
      <w:start w:val="1"/>
      <w:numFmt w:val="chineseCounting"/>
      <w:suff w:val="nothing"/>
      <w:lvlText w:val="%1、"/>
      <w:lvlJc w:val="left"/>
      <w:pPr>
        <w:ind w:left="0" w:firstLine="0"/>
      </w:pPr>
    </w:lvl>
  </w:abstractNum>
  <w:abstractNum w:abstractNumId="4">
    <w:nsid w:val="69575F37"/>
    <w:multiLevelType w:val="singleLevel"/>
    <w:tmpl w:val="69575F37"/>
    <w:lvl w:ilvl="0" w:tentative="0">
      <w:start w:val="2"/>
      <w:numFmt w:val="decimal"/>
      <w:suff w:val="space"/>
      <w:lvlText w:val="%1."/>
      <w:lvlJc w:val="left"/>
    </w:lvl>
  </w:abstractNum>
  <w:abstractNum w:abstractNumId="5">
    <w:nsid w:val="7407013D"/>
    <w:multiLevelType w:val="singleLevel"/>
    <w:tmpl w:val="7407013D"/>
    <w:lvl w:ilvl="0" w:tentative="0">
      <w:start w:val="3"/>
      <w:numFmt w:val="decimal"/>
      <w:suff w:val="space"/>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TFiMWJlNDMyY2M1ODNiMDAyMTljMDQ3MTE1NWU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261662C"/>
    <w:rsid w:val="06AC2E4B"/>
    <w:rsid w:val="08D101C8"/>
    <w:rsid w:val="09A36E8E"/>
    <w:rsid w:val="0F67035B"/>
    <w:rsid w:val="148D5DA0"/>
    <w:rsid w:val="14E84743"/>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441156D"/>
    <w:rsid w:val="44A25562"/>
    <w:rsid w:val="467A1BA5"/>
    <w:rsid w:val="49824DE9"/>
    <w:rsid w:val="570622EC"/>
    <w:rsid w:val="57DD4F82"/>
    <w:rsid w:val="5BC72C18"/>
    <w:rsid w:val="5EBD3EAF"/>
    <w:rsid w:val="608C39E9"/>
    <w:rsid w:val="61601450"/>
    <w:rsid w:val="687C2595"/>
    <w:rsid w:val="6C9C7021"/>
    <w:rsid w:val="75852B4B"/>
    <w:rsid w:val="76477D64"/>
    <w:rsid w:val="76940A8D"/>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sz w:val="24"/>
    </w:rPr>
  </w:style>
  <w:style w:type="paragraph" w:styleId="3">
    <w:name w:val="annotation text"/>
    <w:basedOn w:val="1"/>
    <w:link w:val="14"/>
    <w:unhideWhenUsed/>
    <w:qFormat/>
    <w:uiPriority w:val="0"/>
    <w:pPr>
      <w:jc w:val="left"/>
    </w:pPr>
    <w:rPr>
      <w:rFonts w:asciiTheme="minorHAnsi" w:hAnsiTheme="minorHAnsi" w:eastAsiaTheme="minorEastAsia" w:cstheme="minorBidi"/>
    </w:r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rFonts w:ascii="Times New Roman" w:hAnsi="Times New Roman" w:eastAsia="宋体" w:cs="Times New Roman"/>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0"/>
    <w:rPr>
      <w:sz w:val="21"/>
      <w:szCs w:val="21"/>
    </w:rPr>
  </w:style>
  <w:style w:type="character" w:customStyle="1" w:styleId="14">
    <w:name w:val="批注文字 Char"/>
    <w:link w:val="3"/>
    <w:qFormat/>
    <w:uiPriority w:val="0"/>
    <w:rPr>
      <w:szCs w:val="24"/>
    </w:rPr>
  </w:style>
  <w:style w:type="character" w:customStyle="1" w:styleId="15">
    <w:name w:val="批注文字 Char1"/>
    <w:basedOn w:val="12"/>
    <w:semiHidden/>
    <w:qFormat/>
    <w:uiPriority w:val="99"/>
    <w:rPr>
      <w:rFonts w:ascii="Times New Roman" w:hAnsi="Times New Roman" w:eastAsia="宋体" w:cs="Times New Roman"/>
      <w:szCs w:val="24"/>
    </w:rPr>
  </w:style>
  <w:style w:type="character" w:customStyle="1" w:styleId="16">
    <w:name w:val="批注框文本 Char"/>
    <w:basedOn w:val="12"/>
    <w:link w:val="4"/>
    <w:semiHidden/>
    <w:qFormat/>
    <w:uiPriority w:val="99"/>
    <w:rPr>
      <w:rFonts w:ascii="Times New Roman" w:hAnsi="Times New Roman" w:eastAsia="宋体" w:cs="Times New Roman"/>
      <w:sz w:val="18"/>
      <w:szCs w:val="18"/>
    </w:rPr>
  </w:style>
  <w:style w:type="character" w:customStyle="1" w:styleId="17">
    <w:name w:val="批注主题 Char"/>
    <w:basedOn w:val="14"/>
    <w:link w:val="9"/>
    <w:semiHidden/>
    <w:qFormat/>
    <w:uiPriority w:val="99"/>
    <w:rPr>
      <w:rFonts w:ascii="Times New Roman" w:hAnsi="Times New Roman" w:eastAsia="宋体" w:cs="Times New Roman"/>
      <w:b/>
      <w:bCs/>
      <w:szCs w:val="24"/>
    </w:rPr>
  </w:style>
  <w:style w:type="character" w:customStyle="1" w:styleId="18">
    <w:name w:val="页眉 Char"/>
    <w:basedOn w:val="12"/>
    <w:link w:val="6"/>
    <w:qFormat/>
    <w:uiPriority w:val="99"/>
    <w:rPr>
      <w:rFonts w:ascii="Times New Roman" w:hAnsi="Times New Roman" w:eastAsia="宋体" w:cs="Times New Roman"/>
      <w:sz w:val="18"/>
      <w:szCs w:val="18"/>
    </w:rPr>
  </w:style>
  <w:style w:type="character" w:customStyle="1" w:styleId="19">
    <w:name w:val="页脚 Char"/>
    <w:basedOn w:val="12"/>
    <w:link w:val="5"/>
    <w:qFormat/>
    <w:uiPriority w:val="99"/>
    <w:rPr>
      <w:rFonts w:ascii="Times New Roman" w:hAnsi="Times New Roman" w:eastAsia="宋体" w:cs="Times New Roman"/>
      <w:sz w:val="18"/>
      <w:szCs w:val="18"/>
    </w:rPr>
  </w:style>
  <w:style w:type="character" w:customStyle="1" w:styleId="20">
    <w:name w:val="文档结构图 Char"/>
    <w:basedOn w:val="12"/>
    <w:link w:val="2"/>
    <w:semiHidden/>
    <w:qFormat/>
    <w:uiPriority w:val="99"/>
    <w:rPr>
      <w:rFonts w:ascii="Times New Roman" w:hAnsi="Times New Roman" w:eastAsia="宋体" w:cs="Times New Roman"/>
      <w:sz w:val="24"/>
      <w:szCs w:val="24"/>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28</Pages>
  <Words>17355</Words>
  <Characters>17541</Characters>
  <Lines>134</Lines>
  <Paragraphs>37</Paragraphs>
  <TotalTime>6</TotalTime>
  <ScaleCrop>false</ScaleCrop>
  <LinksUpToDate>false</LinksUpToDate>
  <CharactersWithSpaces>18262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圆子</cp:lastModifiedBy>
  <cp:lastPrinted>2023-05-09T00:52:00Z</cp:lastPrinted>
  <dcterms:modified xsi:type="dcterms:W3CDTF">2025-08-04T11:27:07Z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6075AFB7D665446088543F87EF34A43E_13</vt:lpwstr>
  </property>
  <property fmtid="{D5CDD505-2E9C-101B-9397-08002B2CF9AE}" pid="4" name="KSOTemplateDocerSaveRecord">
    <vt:lpwstr>eyJoZGlkIjoiODY3MTAzN2RkMjJjMjIxZWRjYWZlMGE1OWNhZGY1ZGEiLCJ1c2VySWQiOiI1OTU3MTI1MzgifQ==</vt:lpwstr>
  </property>
</Properties>
</file>