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DD618">
      <w:pPr>
        <w:pStyle w:val="4"/>
        <w:spacing w:before="4"/>
        <w:rPr>
          <w:rFonts w:ascii="等线"/>
          <w:b/>
          <w:sz w:val="18"/>
        </w:rPr>
      </w:pPr>
    </w:p>
    <w:p w14:paraId="1DA440C1">
      <w:pPr>
        <w:pStyle w:val="4"/>
        <w:spacing w:before="4"/>
        <w:rPr>
          <w:rFonts w:hint="default" w:ascii="等线" w:eastAsia="仿宋_GB2312"/>
          <w:b/>
          <w:sz w:val="18"/>
          <w:lang w:val="en-US" w:eastAsia="zh-CN"/>
        </w:rPr>
      </w:pPr>
      <w:r>
        <w:rPr>
          <w:rFonts w:hint="eastAsia" w:ascii="等线"/>
          <w:b/>
          <w:sz w:val="18"/>
          <w:lang w:val="en-US" w:eastAsia="zh-CN"/>
        </w:rPr>
        <w:t xml:space="preserve">                                                                 </w:t>
      </w:r>
      <w:r>
        <w:rPr>
          <w:rFonts w:hint="eastAsia" w:ascii="等线"/>
          <w:b/>
          <w:sz w:val="52"/>
          <w:szCs w:val="52"/>
          <w:lang w:val="en-US" w:eastAsia="zh-CN"/>
        </w:rPr>
        <w:t xml:space="preserve">    报价函</w:t>
      </w:r>
    </w:p>
    <w:p w14:paraId="5B8C6A3D">
      <w:pPr>
        <w:pStyle w:val="4"/>
        <w:spacing w:before="4"/>
        <w:rPr>
          <w:rFonts w:ascii="等线"/>
          <w:b/>
          <w:sz w:val="18"/>
        </w:rPr>
      </w:pPr>
    </w:p>
    <w:p w14:paraId="3C278793">
      <w:pPr>
        <w:pStyle w:val="4"/>
        <w:spacing w:before="4"/>
        <w:rPr>
          <w:rFonts w:ascii="等线"/>
          <w:b/>
          <w:sz w:val="18"/>
        </w:rPr>
      </w:pPr>
    </w:p>
    <w:tbl>
      <w:tblPr>
        <w:tblStyle w:val="5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9"/>
        <w:gridCol w:w="5783"/>
      </w:tblGrid>
      <w:tr w14:paraId="55CA7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689" w:type="dxa"/>
          </w:tcPr>
          <w:p w14:paraId="111C1E95">
            <w:pPr>
              <w:pStyle w:val="17"/>
              <w:spacing w:before="82"/>
              <w:ind w:left="863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5783" w:type="dxa"/>
          </w:tcPr>
          <w:p w14:paraId="7D311FCD">
            <w:pPr>
              <w:pStyle w:val="17"/>
              <w:spacing w:before="80"/>
              <w:ind w:left="1687" w:right="1645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兰溪服务区中式点心</w:t>
            </w:r>
            <w:r>
              <w:rPr>
                <w:sz w:val="24"/>
              </w:rPr>
              <w:t>项目</w:t>
            </w:r>
          </w:p>
        </w:tc>
      </w:tr>
      <w:tr w14:paraId="49170D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2689" w:type="dxa"/>
          </w:tcPr>
          <w:p w14:paraId="3CF3FD58">
            <w:pPr>
              <w:pStyle w:val="17"/>
              <w:spacing w:before="82"/>
              <w:ind w:right="553"/>
              <w:jc w:val="right"/>
              <w:rPr>
                <w:sz w:val="24"/>
              </w:rPr>
            </w:pPr>
            <w:r>
              <w:rPr>
                <w:sz w:val="24"/>
              </w:rPr>
              <w:t>项目品牌 范围</w:t>
            </w:r>
          </w:p>
        </w:tc>
        <w:tc>
          <w:tcPr>
            <w:tcW w:w="5783" w:type="dxa"/>
          </w:tcPr>
          <w:p w14:paraId="7E0B24B4">
            <w:pPr>
              <w:pStyle w:val="17"/>
              <w:spacing w:before="79"/>
              <w:ind w:left="1687" w:right="1645"/>
              <w:jc w:val="center"/>
              <w:rPr>
                <w:sz w:val="24"/>
              </w:rPr>
            </w:pPr>
            <w:r>
              <w:rPr>
                <w:sz w:val="24"/>
              </w:rPr>
              <w:t>XX/XXX</w:t>
            </w:r>
          </w:p>
        </w:tc>
      </w:tr>
      <w:tr w14:paraId="323E4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2689" w:type="dxa"/>
          </w:tcPr>
          <w:p w14:paraId="01399C87">
            <w:pPr>
              <w:pStyle w:val="17"/>
              <w:spacing w:before="199"/>
              <w:ind w:left="243" w:right="235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年</w:t>
            </w:r>
            <w:r>
              <w:rPr>
                <w:sz w:val="24"/>
              </w:rPr>
              <w:t>限低</w:t>
            </w:r>
            <w:r>
              <w:rPr>
                <w:rFonts w:hint="eastAsia"/>
                <w:sz w:val="24"/>
                <w:lang w:val="en-US" w:eastAsia="zh-CN"/>
              </w:rPr>
              <w:t>对客营业额</w:t>
            </w:r>
          </w:p>
          <w:p w14:paraId="6B8EAA9C">
            <w:pPr>
              <w:pStyle w:val="17"/>
              <w:spacing w:before="160"/>
              <w:ind w:left="243" w:right="235"/>
              <w:jc w:val="center"/>
              <w:rPr>
                <w:sz w:val="24"/>
              </w:rPr>
            </w:pPr>
            <w:r>
              <w:rPr>
                <w:sz w:val="24"/>
              </w:rPr>
              <w:t>（万元）</w:t>
            </w:r>
          </w:p>
        </w:tc>
        <w:tc>
          <w:tcPr>
            <w:tcW w:w="5783" w:type="dxa"/>
          </w:tcPr>
          <w:p w14:paraId="151FA636">
            <w:pPr>
              <w:pStyle w:val="17"/>
              <w:spacing w:before="10"/>
              <w:rPr>
                <w:rFonts w:ascii="等线"/>
                <w:b/>
                <w:sz w:val="28"/>
              </w:rPr>
            </w:pPr>
          </w:p>
          <w:p w14:paraId="484E3F72">
            <w:pPr>
              <w:pStyle w:val="17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lang w:val="en-US" w:eastAsia="zh-CN"/>
              </w:rPr>
              <w:t>154</w:t>
            </w:r>
            <w:r>
              <w:rPr>
                <w:sz w:val="24"/>
              </w:rPr>
              <w:t>万元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  <w:lang w:val="en-US" w:eastAsia="zh-CN"/>
              </w:rPr>
              <w:t>提成比例28%。</w:t>
            </w:r>
          </w:p>
        </w:tc>
      </w:tr>
      <w:tr w14:paraId="75BBA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2689" w:type="dxa"/>
          </w:tcPr>
          <w:p w14:paraId="0FF8D76D">
            <w:pPr>
              <w:pStyle w:val="17"/>
              <w:spacing w:before="82"/>
              <w:ind w:left="243" w:right="235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年基准对客营业额</w:t>
            </w:r>
            <w:r>
              <w:rPr>
                <w:sz w:val="24"/>
              </w:rPr>
              <w:t>报价（万元）</w:t>
            </w:r>
          </w:p>
        </w:tc>
        <w:tc>
          <w:tcPr>
            <w:tcW w:w="5783" w:type="dxa"/>
          </w:tcPr>
          <w:p w14:paraId="5C6803F9">
            <w:pPr>
              <w:pStyle w:val="17"/>
              <w:rPr>
                <w:rFonts w:ascii="Times New Roman"/>
                <w:sz w:val="22"/>
              </w:rPr>
            </w:pPr>
          </w:p>
        </w:tc>
      </w:tr>
      <w:tr w14:paraId="575319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6" w:hRule="atLeast"/>
        </w:trPr>
        <w:tc>
          <w:tcPr>
            <w:tcW w:w="2689" w:type="dxa"/>
          </w:tcPr>
          <w:p w14:paraId="5126FFD3">
            <w:pPr>
              <w:pStyle w:val="17"/>
              <w:rPr>
                <w:rFonts w:ascii="等线"/>
                <w:b/>
                <w:sz w:val="28"/>
              </w:rPr>
            </w:pPr>
          </w:p>
          <w:p w14:paraId="35E981EF">
            <w:pPr>
              <w:pStyle w:val="17"/>
              <w:rPr>
                <w:rFonts w:ascii="等线"/>
                <w:b/>
                <w:sz w:val="28"/>
              </w:rPr>
            </w:pPr>
          </w:p>
          <w:p w14:paraId="3AAD1978">
            <w:pPr>
              <w:pStyle w:val="17"/>
              <w:rPr>
                <w:rFonts w:ascii="等线"/>
                <w:b/>
                <w:sz w:val="28"/>
              </w:rPr>
            </w:pPr>
          </w:p>
          <w:p w14:paraId="1ACF3D68">
            <w:pPr>
              <w:pStyle w:val="17"/>
              <w:rPr>
                <w:rFonts w:ascii="等线"/>
                <w:b/>
                <w:sz w:val="28"/>
              </w:rPr>
            </w:pPr>
          </w:p>
          <w:p w14:paraId="0090DED2">
            <w:pPr>
              <w:pStyle w:val="17"/>
              <w:spacing w:before="1"/>
              <w:rPr>
                <w:rFonts w:ascii="等线"/>
                <w:b/>
                <w:sz w:val="30"/>
              </w:rPr>
            </w:pPr>
          </w:p>
          <w:p w14:paraId="5FD334B2">
            <w:pPr>
              <w:pStyle w:val="17"/>
              <w:ind w:right="493"/>
              <w:jc w:val="right"/>
              <w:rPr>
                <w:sz w:val="28"/>
              </w:rPr>
            </w:pPr>
            <w:r>
              <w:rPr>
                <w:sz w:val="28"/>
              </w:rPr>
              <w:t>其他认同事项</w:t>
            </w:r>
          </w:p>
        </w:tc>
        <w:tc>
          <w:tcPr>
            <w:tcW w:w="5783" w:type="dxa"/>
          </w:tcPr>
          <w:p w14:paraId="6D9A3DCB">
            <w:pPr>
              <w:pStyle w:val="17"/>
              <w:numPr>
                <w:ilvl w:val="0"/>
                <w:numId w:val="1"/>
              </w:numPr>
              <w:tabs>
                <w:tab w:val="left" w:pos="329"/>
              </w:tabs>
              <w:spacing w:before="1" w:after="0" w:line="242" w:lineRule="auto"/>
              <w:ind w:left="106" w:right="163" w:firstLine="0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响应人按照同城同价的原则经营，商品或服务的定价不高于同城同行价格</w:t>
            </w:r>
            <w:r>
              <w:rPr>
                <w:sz w:val="22"/>
              </w:rPr>
              <w:t>（5%内）；</w:t>
            </w:r>
          </w:p>
          <w:p w14:paraId="25DD4D66">
            <w:pPr>
              <w:pStyle w:val="17"/>
              <w:numPr>
                <w:ilvl w:val="0"/>
                <w:numId w:val="1"/>
              </w:numPr>
              <w:tabs>
                <w:tab w:val="left" w:pos="329"/>
              </w:tabs>
              <w:spacing w:before="2" w:after="0" w:line="242" w:lineRule="auto"/>
              <w:ind w:left="106" w:right="163" w:firstLine="0"/>
              <w:jc w:val="both"/>
              <w:rPr>
                <w:sz w:val="22"/>
              </w:rPr>
            </w:pPr>
            <w:r>
              <w:rPr>
                <w:spacing w:val="-3"/>
                <w:sz w:val="22"/>
              </w:rPr>
              <w:t>响应人品牌项目所经营品类，需符合品牌自身标准门店经营范围，且经营品类需经甲方审批，甲方有权对经营品类进行合理限制；</w:t>
            </w:r>
          </w:p>
          <w:p w14:paraId="46F56D9F">
            <w:pPr>
              <w:pStyle w:val="17"/>
              <w:numPr>
                <w:ilvl w:val="0"/>
                <w:numId w:val="1"/>
              </w:numPr>
              <w:tabs>
                <w:tab w:val="left" w:pos="329"/>
              </w:tabs>
              <w:spacing w:before="2" w:after="0" w:line="240" w:lineRule="auto"/>
              <w:ind w:left="106" w:right="163" w:firstLine="0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响应人对现场物业条件已经明确，如进场后需要进行调整的，相关费用由响应人自行承担；</w:t>
            </w:r>
          </w:p>
          <w:p w14:paraId="735605CB">
            <w:pPr>
              <w:pStyle w:val="17"/>
              <w:numPr>
                <w:ilvl w:val="0"/>
                <w:numId w:val="1"/>
              </w:numPr>
              <w:tabs>
                <w:tab w:val="left" w:pos="329"/>
              </w:tabs>
              <w:spacing w:before="8" w:after="0" w:line="240" w:lineRule="auto"/>
              <w:ind w:left="106" w:right="163" w:firstLine="0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响应人执行商业集团标准合同，并履行营业收入</w:t>
            </w:r>
            <w:r>
              <w:rPr>
                <w:rFonts w:hint="eastAsia"/>
                <w:spacing w:val="-3"/>
                <w:sz w:val="22"/>
                <w:lang w:val="en-US" w:eastAsia="zh-CN"/>
              </w:rPr>
              <w:t>扫码录入</w:t>
            </w:r>
            <w:r>
              <w:rPr>
                <w:spacing w:val="-2"/>
                <w:sz w:val="22"/>
              </w:rPr>
              <w:t>模式；</w:t>
            </w:r>
          </w:p>
          <w:p w14:paraId="56FA0878">
            <w:pPr>
              <w:pStyle w:val="17"/>
              <w:numPr>
                <w:ilvl w:val="0"/>
                <w:numId w:val="1"/>
              </w:numPr>
              <w:tabs>
                <w:tab w:val="left" w:pos="329"/>
              </w:tabs>
              <w:spacing w:before="5" w:after="0" w:line="242" w:lineRule="auto"/>
              <w:ind w:left="106" w:right="96" w:firstLine="0"/>
              <w:jc w:val="both"/>
              <w:rPr>
                <w:sz w:val="22"/>
              </w:rPr>
            </w:pPr>
            <w:r>
              <w:rPr>
                <w:spacing w:val="-7"/>
                <w:sz w:val="22"/>
              </w:rPr>
              <w:t>中标人自接到中标通知书之日起</w:t>
            </w:r>
            <w:r>
              <w:rPr>
                <w:rFonts w:hint="eastAsia"/>
                <w:spacing w:val="-7"/>
                <w:sz w:val="22"/>
                <w:lang w:val="en-US" w:eastAsia="zh-CN"/>
              </w:rPr>
              <w:t>5</w:t>
            </w:r>
            <w:r>
              <w:rPr>
                <w:spacing w:val="-12"/>
                <w:sz w:val="22"/>
              </w:rPr>
              <w:t>天内，缴纳履约保证金</w:t>
            </w:r>
            <w:r>
              <w:rPr>
                <w:spacing w:val="-3"/>
                <w:sz w:val="22"/>
              </w:rPr>
              <w:t>，并在要求时间内完成设计装修(入驻)方案，具体场地位置、面积服从服务区统一安排。中标人认同商业集团标准格式合同内容，并在要求时间范围内签订经营合同及遵从进场时间，如无故不履约或拖延进场，按弃标处理；</w:t>
            </w:r>
          </w:p>
          <w:p w14:paraId="497059E7">
            <w:pPr>
              <w:pStyle w:val="17"/>
              <w:numPr>
                <w:ilvl w:val="0"/>
                <w:numId w:val="1"/>
              </w:numPr>
              <w:tabs>
                <w:tab w:val="left" w:pos="329"/>
              </w:tabs>
              <w:spacing w:before="3" w:after="0" w:line="240" w:lineRule="auto"/>
              <w:ind w:left="328" w:right="0" w:hanging="223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本次谈判最终解释权归浙江省商业集团所有。</w:t>
            </w:r>
          </w:p>
        </w:tc>
      </w:tr>
    </w:tbl>
    <w:p w14:paraId="773A01E2">
      <w:pPr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top="1440" w:right="1540" w:bottom="280" w:left="1580" w:header="720" w:footer="720" w:gutter="0"/>
          <w:cols w:space="720" w:num="1"/>
        </w:sectPr>
      </w:pPr>
    </w:p>
    <w:p w14:paraId="32549356">
      <w:pPr>
        <w:spacing w:before="4"/>
        <w:ind w:left="220" w:right="0" w:firstLine="0"/>
        <w:jc w:val="left"/>
        <w:rPr>
          <w:rFonts w:hint="eastAsia" w:ascii="仿宋" w:eastAsia="仿宋"/>
          <w:sz w:val="22"/>
        </w:rPr>
      </w:pPr>
    </w:p>
    <w:p w14:paraId="2319BDCC">
      <w:pPr>
        <w:spacing w:before="4"/>
        <w:ind w:left="220" w:right="0" w:firstLine="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>谈判响应人：</w:t>
      </w:r>
      <w:r>
        <w:rPr>
          <w:rFonts w:hint="eastAsia" w:ascii="仿宋" w:eastAsia="仿宋"/>
          <w:sz w:val="22"/>
          <w:u w:val="single"/>
        </w:rPr>
        <w:t>（公司全称）（盖章）</w:t>
      </w:r>
    </w:p>
    <w:p w14:paraId="074AB0F0">
      <w:pPr>
        <w:tabs>
          <w:tab w:val="left" w:pos="1100"/>
        </w:tabs>
        <w:spacing w:before="73" w:line="304" w:lineRule="auto"/>
        <w:ind w:left="220" w:right="38" w:firstLine="0"/>
        <w:jc w:val="left"/>
        <w:rPr>
          <w:rFonts w:hint="eastAsia" w:ascii="仿宋" w:eastAsia="仿宋"/>
          <w:sz w:val="22"/>
        </w:rPr>
      </w:pPr>
    </w:p>
    <w:p w14:paraId="793B0820">
      <w:pPr>
        <w:tabs>
          <w:tab w:val="left" w:pos="1100"/>
        </w:tabs>
        <w:spacing w:before="73" w:line="304" w:lineRule="auto"/>
        <w:ind w:left="220" w:right="38" w:firstLine="0"/>
        <w:jc w:val="left"/>
        <w:rPr>
          <w:rFonts w:hint="eastAsia" w:ascii="仿宋" w:eastAsia="仿宋"/>
          <w:sz w:val="22"/>
          <w:u w:val="single"/>
        </w:rPr>
      </w:pPr>
      <w:r>
        <w:rPr>
          <w:rFonts w:hint="eastAsia" w:ascii="仿宋" w:eastAsia="仿宋"/>
          <w:sz w:val="22"/>
        </w:rPr>
        <w:t>法</w:t>
      </w:r>
      <w:r>
        <w:rPr>
          <w:rFonts w:hint="eastAsia" w:ascii="仿宋" w:eastAsia="仿宋"/>
          <w:spacing w:val="-3"/>
          <w:sz w:val="22"/>
        </w:rPr>
        <w:t>定</w:t>
      </w:r>
      <w:r>
        <w:rPr>
          <w:rFonts w:hint="eastAsia" w:ascii="仿宋" w:eastAsia="仿宋"/>
          <w:sz w:val="22"/>
        </w:rPr>
        <w:t>代表</w:t>
      </w:r>
      <w:r>
        <w:rPr>
          <w:rFonts w:hint="eastAsia" w:ascii="仿宋" w:eastAsia="仿宋"/>
          <w:spacing w:val="-3"/>
          <w:sz w:val="22"/>
        </w:rPr>
        <w:t>人</w:t>
      </w:r>
      <w:r>
        <w:rPr>
          <w:rFonts w:hint="eastAsia" w:ascii="仿宋" w:eastAsia="仿宋"/>
          <w:sz w:val="22"/>
        </w:rPr>
        <w:t>或其</w:t>
      </w:r>
      <w:r>
        <w:rPr>
          <w:rFonts w:hint="eastAsia" w:ascii="仿宋" w:eastAsia="仿宋"/>
          <w:spacing w:val="-3"/>
          <w:sz w:val="22"/>
        </w:rPr>
        <w:t>授</w:t>
      </w:r>
      <w:r>
        <w:rPr>
          <w:rFonts w:hint="eastAsia" w:ascii="仿宋" w:eastAsia="仿宋"/>
          <w:sz w:val="22"/>
        </w:rPr>
        <w:t>权的</w:t>
      </w:r>
      <w:r>
        <w:rPr>
          <w:rFonts w:hint="eastAsia" w:ascii="仿宋" w:eastAsia="仿宋"/>
          <w:spacing w:val="-3"/>
          <w:sz w:val="22"/>
        </w:rPr>
        <w:t>代</w:t>
      </w:r>
      <w:r>
        <w:rPr>
          <w:rFonts w:hint="eastAsia" w:ascii="仿宋" w:eastAsia="仿宋"/>
          <w:sz w:val="22"/>
        </w:rPr>
        <w:t>理人：</w:t>
      </w:r>
      <w:r>
        <w:rPr>
          <w:rFonts w:hint="eastAsia" w:ascii="仿宋" w:eastAsia="仿宋"/>
          <w:sz w:val="22"/>
          <w:u w:val="single"/>
        </w:rPr>
        <w:t>（</w:t>
      </w:r>
      <w:r>
        <w:rPr>
          <w:rFonts w:hint="eastAsia" w:ascii="仿宋" w:eastAsia="仿宋"/>
          <w:spacing w:val="-3"/>
          <w:sz w:val="22"/>
          <w:u w:val="single"/>
        </w:rPr>
        <w:t>签</w:t>
      </w:r>
      <w:r>
        <w:rPr>
          <w:rFonts w:hint="eastAsia" w:ascii="仿宋" w:eastAsia="仿宋"/>
          <w:sz w:val="22"/>
          <w:u w:val="single"/>
        </w:rPr>
        <w:t xml:space="preserve">字） </w:t>
      </w:r>
    </w:p>
    <w:p w14:paraId="2A4DBF7A">
      <w:pPr>
        <w:tabs>
          <w:tab w:val="left" w:pos="1100"/>
        </w:tabs>
        <w:spacing w:before="73" w:line="304" w:lineRule="auto"/>
        <w:ind w:right="38" w:firstLine="220" w:firstLineChars="10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>地</w:t>
      </w:r>
      <w:r>
        <w:rPr>
          <w:rFonts w:hint="eastAsia" w:ascii="仿宋" w:eastAsia="仿宋"/>
          <w:sz w:val="22"/>
        </w:rPr>
        <w:tab/>
      </w:r>
      <w:r>
        <w:rPr>
          <w:rFonts w:hint="eastAsia" w:ascii="仿宋" w:eastAsia="仿宋"/>
          <w:sz w:val="22"/>
        </w:rPr>
        <w:t>址：</w:t>
      </w:r>
    </w:p>
    <w:p w14:paraId="7863B3FB">
      <w:pPr>
        <w:spacing w:before="0" w:line="304" w:lineRule="auto"/>
        <w:ind w:left="220" w:right="3006" w:firstLine="0"/>
        <w:jc w:val="left"/>
        <w:rPr>
          <w:rFonts w:hint="eastAsia" w:ascii="仿宋" w:eastAsia="仿宋"/>
          <w:sz w:val="22"/>
        </w:rPr>
      </w:pPr>
    </w:p>
    <w:p w14:paraId="63C85A2A">
      <w:pPr>
        <w:spacing w:before="0" w:line="304" w:lineRule="auto"/>
        <w:ind w:left="220" w:right="3006" w:firstLine="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 xml:space="preserve">邮政编码： </w:t>
      </w:r>
    </w:p>
    <w:p w14:paraId="7DF70E23">
      <w:pPr>
        <w:spacing w:before="0" w:line="304" w:lineRule="auto"/>
        <w:ind w:left="220" w:right="3006" w:firstLine="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>电话：</w:t>
      </w:r>
    </w:p>
    <w:p w14:paraId="4A57FE1A">
      <w:pPr>
        <w:pStyle w:val="4"/>
        <w:rPr>
          <w:rFonts w:ascii="仿宋"/>
          <w:sz w:val="24"/>
        </w:rPr>
      </w:pPr>
      <w:r>
        <w:br w:type="column"/>
      </w:r>
    </w:p>
    <w:p w14:paraId="1F3B617B">
      <w:pPr>
        <w:pStyle w:val="4"/>
        <w:rPr>
          <w:rFonts w:ascii="仿宋"/>
          <w:sz w:val="24"/>
        </w:rPr>
      </w:pPr>
    </w:p>
    <w:p w14:paraId="085DF205">
      <w:pPr>
        <w:pStyle w:val="4"/>
        <w:rPr>
          <w:rFonts w:ascii="仿宋"/>
          <w:sz w:val="24"/>
        </w:rPr>
      </w:pPr>
    </w:p>
    <w:p w14:paraId="114729CC">
      <w:pPr>
        <w:pStyle w:val="4"/>
        <w:rPr>
          <w:rFonts w:ascii="仿宋"/>
          <w:sz w:val="24"/>
        </w:rPr>
      </w:pPr>
    </w:p>
    <w:p w14:paraId="3E188A45">
      <w:pPr>
        <w:pStyle w:val="4"/>
        <w:rPr>
          <w:rFonts w:ascii="仿宋"/>
          <w:sz w:val="24"/>
        </w:rPr>
      </w:pPr>
    </w:p>
    <w:p w14:paraId="681126F4">
      <w:pPr>
        <w:pStyle w:val="4"/>
        <w:spacing w:before="5"/>
        <w:rPr>
          <w:rFonts w:ascii="仿宋"/>
          <w:sz w:val="19"/>
        </w:rPr>
      </w:pPr>
    </w:p>
    <w:p w14:paraId="2C51853D">
      <w:pPr>
        <w:spacing w:after="0"/>
        <w:jc w:val="left"/>
        <w:rPr>
          <w:rFonts w:hint="eastAsia" w:ascii="仿宋" w:eastAsia="仿宋"/>
          <w:sz w:val="24"/>
        </w:rPr>
        <w:sectPr>
          <w:type w:val="continuous"/>
          <w:pgSz w:w="11910" w:h="16840"/>
          <w:pgMar w:top="1440" w:right="1540" w:bottom="280" w:left="1580" w:header="720" w:footer="720" w:gutter="0"/>
          <w:cols w:equalWidth="0" w:num="2">
            <w:col w:w="4330" w:space="2615"/>
            <w:col w:w="1845"/>
          </w:cols>
        </w:sectPr>
      </w:pPr>
    </w:p>
    <w:p w14:paraId="2F778E3E">
      <w:pPr>
        <w:pStyle w:val="4"/>
        <w:rPr>
          <w:rFonts w:ascii="仿宋"/>
          <w:sz w:val="20"/>
        </w:rPr>
      </w:pPr>
    </w:p>
    <w:p w14:paraId="3D4ACF82">
      <w:pPr>
        <w:pStyle w:val="4"/>
        <w:rPr>
          <w:rFonts w:ascii="仿宋"/>
          <w:sz w:val="20"/>
        </w:rPr>
      </w:pPr>
    </w:p>
    <w:p w14:paraId="012B52E3">
      <w:pPr>
        <w:pStyle w:val="4"/>
        <w:rPr>
          <w:rFonts w:ascii="仿宋"/>
          <w:sz w:val="20"/>
        </w:rPr>
      </w:pPr>
    </w:p>
    <w:p w14:paraId="299E8C98">
      <w:pPr>
        <w:pStyle w:val="4"/>
        <w:rPr>
          <w:rFonts w:ascii="仿宋"/>
          <w:sz w:val="20"/>
        </w:rPr>
      </w:pPr>
    </w:p>
    <w:p w14:paraId="04A40A15">
      <w:pPr>
        <w:pStyle w:val="4"/>
        <w:rPr>
          <w:rFonts w:ascii="仿宋"/>
          <w:sz w:val="20"/>
        </w:rPr>
      </w:pPr>
    </w:p>
    <w:p w14:paraId="52BB91C2">
      <w:pPr>
        <w:spacing w:before="0"/>
        <w:ind w:left="220" w:right="0" w:firstLine="6720" w:firstLineChars="2800"/>
        <w:jc w:val="left"/>
        <w:rPr>
          <w:rFonts w:hint="eastAsia" w:ascii="仿宋" w:eastAsia="仿宋"/>
          <w:sz w:val="24"/>
        </w:rPr>
      </w:pPr>
      <w:r>
        <w:rPr>
          <w:rFonts w:hint="eastAsia" w:ascii="仿宋" w:eastAsia="仿宋"/>
          <w:sz w:val="24"/>
        </w:rPr>
        <w:t>年</w:t>
      </w:r>
      <w:r>
        <w:rPr>
          <w:rFonts w:hint="eastAsia" w:ascii="仿宋" w:eastAsia="仿宋"/>
          <w:sz w:val="24"/>
          <w:lang w:val="en-US" w:eastAsia="zh-CN"/>
        </w:rPr>
        <w:t xml:space="preserve">    </w:t>
      </w:r>
      <w:r>
        <w:rPr>
          <w:rFonts w:hint="eastAsia" w:ascii="仿宋" w:eastAsia="仿宋"/>
          <w:sz w:val="24"/>
        </w:rPr>
        <w:t>月</w:t>
      </w:r>
      <w:r>
        <w:rPr>
          <w:rFonts w:hint="eastAsia" w:ascii="仿宋" w:eastAsia="仿宋"/>
          <w:sz w:val="24"/>
          <w:lang w:val="en-US" w:eastAsia="zh-CN"/>
        </w:rPr>
        <w:t xml:space="preserve">   </w:t>
      </w:r>
      <w:r>
        <w:rPr>
          <w:rFonts w:hint="eastAsia" w:ascii="仿宋" w:eastAsia="仿宋"/>
          <w:sz w:val="24"/>
        </w:rPr>
        <w:t>日</w:t>
      </w:r>
    </w:p>
    <w:p w14:paraId="468E14C2">
      <w:pPr>
        <w:pStyle w:val="4"/>
        <w:rPr>
          <w:rFonts w:ascii="仿宋"/>
          <w:sz w:val="20"/>
        </w:rPr>
      </w:pPr>
    </w:p>
    <w:p w14:paraId="0CBDB135">
      <w:pPr>
        <w:pStyle w:val="4"/>
        <w:rPr>
          <w:rFonts w:ascii="仿宋"/>
          <w:sz w:val="20"/>
        </w:rPr>
      </w:pPr>
    </w:p>
    <w:p w14:paraId="28F63A27">
      <w:pPr>
        <w:spacing w:before="64"/>
        <w:ind w:left="0" w:right="257" w:firstLine="0"/>
        <w:jc w:val="both"/>
        <w:rPr>
          <w:rFonts w:ascii="Calibri"/>
          <w:sz w:val="18"/>
        </w:rPr>
      </w:pPr>
    </w:p>
    <w:sectPr>
      <w:type w:val="continuous"/>
      <w:pgSz w:w="11910" w:h="16840"/>
      <w:pgMar w:top="1440" w:right="1540" w:bottom="280" w:left="15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106" w:hanging="222"/>
        <w:jc w:val="left"/>
      </w:pPr>
      <w:rPr>
        <w:rFonts w:hint="default" w:ascii="仿宋" w:hAnsi="仿宋" w:eastAsia="仿宋" w:cs="仿宋"/>
        <w:spacing w:val="-1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667" w:hanging="2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234" w:hanging="2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801" w:hanging="2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369" w:hanging="2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2936" w:hanging="2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3503" w:hanging="2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4071" w:hanging="2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4638" w:hanging="222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hM2JiNjIwM2E3ODE5N2Y2MzYwZGFlMjI4M2I1N2IifQ=="/>
  </w:docVars>
  <w:rsids>
    <w:rsidRoot w:val="00000000"/>
    <w:rsid w:val="0132783D"/>
    <w:rsid w:val="02DA7FEC"/>
    <w:rsid w:val="0A2E0359"/>
    <w:rsid w:val="0BA74293"/>
    <w:rsid w:val="0C023978"/>
    <w:rsid w:val="11EB704F"/>
    <w:rsid w:val="13E27A03"/>
    <w:rsid w:val="1669632D"/>
    <w:rsid w:val="187A5778"/>
    <w:rsid w:val="1A8D6144"/>
    <w:rsid w:val="1A976C37"/>
    <w:rsid w:val="1BCB4EDC"/>
    <w:rsid w:val="1CF523B1"/>
    <w:rsid w:val="1E2D340E"/>
    <w:rsid w:val="219537A4"/>
    <w:rsid w:val="25492721"/>
    <w:rsid w:val="25A45CAD"/>
    <w:rsid w:val="29711F0E"/>
    <w:rsid w:val="2F9163D6"/>
    <w:rsid w:val="2FFD0E93"/>
    <w:rsid w:val="3076213F"/>
    <w:rsid w:val="348B3E0E"/>
    <w:rsid w:val="36F14BE1"/>
    <w:rsid w:val="3A6F0BDF"/>
    <w:rsid w:val="48362157"/>
    <w:rsid w:val="4A735079"/>
    <w:rsid w:val="4D227D2D"/>
    <w:rsid w:val="4D391480"/>
    <w:rsid w:val="4DE9305B"/>
    <w:rsid w:val="50334212"/>
    <w:rsid w:val="50C148EA"/>
    <w:rsid w:val="50DC6685"/>
    <w:rsid w:val="58897C30"/>
    <w:rsid w:val="59BE7035"/>
    <w:rsid w:val="59C279D7"/>
    <w:rsid w:val="5A7A3549"/>
    <w:rsid w:val="5CFA65D6"/>
    <w:rsid w:val="5DDD2B9A"/>
    <w:rsid w:val="5E0D40E7"/>
    <w:rsid w:val="64625869"/>
    <w:rsid w:val="65A8649C"/>
    <w:rsid w:val="67732D24"/>
    <w:rsid w:val="67C75AAB"/>
    <w:rsid w:val="695F4434"/>
    <w:rsid w:val="696C260A"/>
    <w:rsid w:val="72965704"/>
    <w:rsid w:val="744E03BE"/>
    <w:rsid w:val="74A40EAA"/>
    <w:rsid w:val="792B181D"/>
    <w:rsid w:val="7A424123"/>
    <w:rsid w:val="7C2943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ind w:left="220" w:hanging="221"/>
      <w:outlineLvl w:val="1"/>
    </w:pPr>
    <w:rPr>
      <w:rFonts w:ascii="宋体" w:hAnsi="宋体" w:eastAsia="宋体" w:cs="宋体"/>
      <w:b/>
      <w:bCs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autoRedefine/>
    <w:qFormat/>
    <w:uiPriority w:val="1"/>
    <w:pPr>
      <w:ind w:left="860"/>
      <w:outlineLvl w:val="2"/>
    </w:pPr>
    <w:rPr>
      <w:rFonts w:ascii="黑体" w:hAnsi="黑体" w:eastAsia="黑体" w:cs="黑体"/>
      <w:b/>
      <w:bCs/>
      <w:sz w:val="32"/>
      <w:szCs w:val="32"/>
      <w:lang w:val="zh-CN" w:eastAsia="zh-CN" w:bidi="zh-CN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character" w:styleId="7">
    <w:name w:val="FollowedHyperlink"/>
    <w:basedOn w:val="6"/>
    <w:autoRedefine/>
    <w:qFormat/>
    <w:uiPriority w:val="0"/>
    <w:rPr>
      <w:color w:val="426CAD"/>
      <w:u w:val="none"/>
    </w:rPr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Acronym"/>
    <w:basedOn w:val="6"/>
    <w:autoRedefine/>
    <w:qFormat/>
    <w:uiPriority w:val="0"/>
  </w:style>
  <w:style w:type="character" w:styleId="11">
    <w:name w:val="HTML Variable"/>
    <w:basedOn w:val="6"/>
    <w:autoRedefine/>
    <w:qFormat/>
    <w:uiPriority w:val="0"/>
  </w:style>
  <w:style w:type="character" w:styleId="12">
    <w:name w:val="Hyperlink"/>
    <w:basedOn w:val="6"/>
    <w:autoRedefine/>
    <w:qFormat/>
    <w:uiPriority w:val="0"/>
    <w:rPr>
      <w:color w:val="426CAD"/>
      <w:u w:val="none"/>
    </w:rPr>
  </w:style>
  <w:style w:type="character" w:styleId="13">
    <w:name w:val="HTML Code"/>
    <w:basedOn w:val="6"/>
    <w:autoRedefine/>
    <w:qFormat/>
    <w:uiPriority w:val="0"/>
    <w:rPr>
      <w:rFonts w:ascii="Courier New" w:hAnsi="Courier New"/>
      <w:sz w:val="20"/>
    </w:rPr>
  </w:style>
  <w:style w:type="character" w:styleId="14">
    <w:name w:val="HTML Cite"/>
    <w:basedOn w:val="6"/>
    <w:autoRedefine/>
    <w:qFormat/>
    <w:uiPriority w:val="0"/>
  </w:style>
  <w:style w:type="table" w:customStyle="1" w:styleId="15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6">
    <w:name w:val="List Paragraph"/>
    <w:basedOn w:val="1"/>
    <w:autoRedefine/>
    <w:qFormat/>
    <w:uiPriority w:val="1"/>
    <w:pPr>
      <w:spacing w:before="3"/>
      <w:ind w:left="220" w:firstLine="640"/>
    </w:pPr>
    <w:rPr>
      <w:rFonts w:ascii="仿宋_GB2312" w:hAnsi="仿宋_GB2312" w:eastAsia="仿宋_GB2312" w:cs="仿宋_GB2312"/>
      <w:lang w:val="zh-CN" w:eastAsia="zh-CN" w:bidi="zh-CN"/>
    </w:rPr>
  </w:style>
  <w:style w:type="paragraph" w:customStyle="1" w:styleId="17">
    <w:name w:val="Table Paragraph"/>
    <w:basedOn w:val="1"/>
    <w:autoRedefine/>
    <w:qFormat/>
    <w:uiPriority w:val="1"/>
    <w:rPr>
      <w:rFonts w:ascii="仿宋" w:hAnsi="仿宋" w:eastAsia="仿宋" w:cs="仿宋"/>
      <w:lang w:val="zh-CN" w:eastAsia="zh-CN" w:bidi="zh-CN"/>
    </w:rPr>
  </w:style>
  <w:style w:type="character" w:customStyle="1" w:styleId="18">
    <w:name w:val="info1"/>
    <w:basedOn w:val="6"/>
    <w:autoRedefine/>
    <w:qFormat/>
    <w:uiPriority w:val="0"/>
    <w:rPr>
      <w:color w:val="999999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422</Words>
  <Characters>432</Characters>
  <TotalTime>0</TotalTime>
  <ScaleCrop>false</ScaleCrop>
  <LinksUpToDate>false</LinksUpToDate>
  <CharactersWithSpaces>512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2022-09-28T02:13:00Z</dcterms:created>
  <dc:creator>胡 俊</dc:creator>
  <cp:lastModifiedBy>King</cp:lastModifiedBy>
  <dcterms:modified xsi:type="dcterms:W3CDTF">2025-08-18T04:56:44Z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2022-09-28T00:00:00Z</vt:filetime>
  </property>
  <property fmtid="{D5CDD505-2E9C-101B-9397-08002B2CF9AE}" pid="5" name="KSOProductBuildVer">
    <vt:lpwstr>2052-12.1.0.21915</vt:lpwstr>
  </property>
  <property fmtid="{D5CDD505-2E9C-101B-9397-08002B2CF9AE}" pid="6" name="ICV">
    <vt:lpwstr>57671CAEF7954F2B8D1E3114E69D6945_13</vt:lpwstr>
  </property>
  <property fmtid="{D5CDD505-2E9C-101B-9397-08002B2CF9AE}" pid="7" name="KSOTemplateDocerSaveRecord">
    <vt:lpwstr>eyJoZGlkIjoiYzg5YzA3YzgyZDJlNTA3ZTQ5NDMyZTQ5NzQxNzRkYmUiLCJ1c2VySWQiOiIyMzQxMDE3OTUifQ==</vt:lpwstr>
  </property>
</Properties>
</file>