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1"/>
        <w:rPr>
          <w:rFonts w:ascii="仿宋_GB2312" w:eastAsia="仿宋_GB2312"/>
          <w:b/>
          <w:sz w:val="32"/>
          <w:szCs w:val="32"/>
        </w:rPr>
      </w:pPr>
      <w:bookmarkStart w:id="0" w:name="OLE_LINK20"/>
      <w:bookmarkStart w:id="1" w:name="OLE_LINK8"/>
      <w:r>
        <w:rPr>
          <w:rFonts w:hint="eastAsia" w:ascii="仿宋_GB2312" w:eastAsia="仿宋_GB2312"/>
          <w:b/>
          <w:sz w:val="32"/>
          <w:szCs w:val="32"/>
          <w:lang w:val="en-US" w:eastAsia="zh-CN"/>
        </w:rPr>
        <w:t xml:space="preserve">  </w:t>
      </w:r>
      <w:r>
        <w:rPr>
          <w:rFonts w:hint="eastAsia" w:ascii="仿宋_GB2312" w:eastAsia="仿宋_GB2312"/>
          <w:b/>
          <w:sz w:val="32"/>
          <w:szCs w:val="32"/>
        </w:rPr>
        <w:t>服务区</w:t>
      </w:r>
      <w:r>
        <w:rPr>
          <w:rFonts w:hint="eastAsia" w:ascii="仿宋_GB2312" w:eastAsia="仿宋_GB2312"/>
          <w:b/>
          <w:sz w:val="32"/>
          <w:szCs w:val="32"/>
          <w:lang w:val="en-US" w:eastAsia="zh-CN"/>
        </w:rPr>
        <w:t xml:space="preserve">      </w:t>
      </w:r>
      <w:r>
        <w:rPr>
          <w:rFonts w:hint="eastAsia" w:ascii="仿宋_GB2312" w:eastAsia="仿宋_GB2312"/>
          <w:b/>
          <w:sz w:val="32"/>
          <w:szCs w:val="32"/>
        </w:rPr>
        <w:t>项目经营管理合同</w:t>
      </w:r>
      <w:bookmarkEnd w:id="0"/>
    </w:p>
    <w:bookmarkEnd w:id="1"/>
    <w:p>
      <w:pPr>
        <w:spacing w:line="480" w:lineRule="exact"/>
        <w:jc w:val="right"/>
        <w:outlineLvl w:val="1"/>
        <w:rPr>
          <w:rFonts w:hint="default" w:ascii="仿宋_GB2312" w:eastAsia="仿宋_GB2312"/>
          <w:b/>
          <w:sz w:val="22"/>
          <w:szCs w:val="22"/>
          <w:lang w:val="en-US" w:eastAsia="zh-CN"/>
        </w:rPr>
      </w:pPr>
      <w:r>
        <w:rPr>
          <w:rFonts w:hint="eastAsia" w:ascii="仿宋_GB2312" w:eastAsia="仿宋_GB2312"/>
          <w:b/>
          <w:sz w:val="22"/>
          <w:szCs w:val="22"/>
          <w:lang w:val="en-US" w:eastAsia="zh-CN"/>
        </w:rPr>
        <w:t>合同编号：【】</w:t>
      </w:r>
    </w:p>
    <w:p>
      <w:pPr>
        <w:spacing w:line="480" w:lineRule="exact"/>
        <w:rPr>
          <w:rFonts w:ascii="仿宋_GB2312" w:eastAsia="仿宋_GB2312"/>
          <w:color w:val="000000" w:themeColor="text1"/>
          <w:sz w:val="24"/>
          <w14:textFill>
            <w14:solidFill>
              <w14:schemeClr w14:val="tx1"/>
            </w14:solidFill>
          </w14:textFill>
        </w:rPr>
      </w:pPr>
      <w:bookmarkStart w:id="2" w:name="OLE_LINK21"/>
      <w:r>
        <w:rPr>
          <w:rFonts w:hint="eastAsia" w:ascii="仿宋_GB2312" w:eastAsia="仿宋_GB2312"/>
          <w:sz w:val="24"/>
        </w:rPr>
        <w:t>甲方：</w:t>
      </w:r>
      <w:bookmarkStart w:id="3" w:name="OLE_LINK3"/>
      <w:r>
        <w:rPr>
          <w:rFonts w:hint="eastAsia" w:ascii="仿宋_GB2312" w:eastAsia="仿宋_GB2312"/>
          <w:sz w:val="24"/>
          <w:lang w:val="en-US" w:eastAsia="zh-CN"/>
        </w:rPr>
        <w:t xml:space="preserve"> </w:t>
      </w:r>
      <w:bookmarkEnd w:id="3"/>
    </w:p>
    <w:p>
      <w:pPr>
        <w:spacing w:line="480" w:lineRule="exact"/>
        <w:rPr>
          <w:rFonts w:ascii="仿宋_GB2312" w:eastAsia="仿宋_GB2312"/>
          <w:sz w:val="24"/>
        </w:rPr>
      </w:pPr>
      <w:r>
        <w:rPr>
          <w:rFonts w:hint="eastAsia" w:ascii="仿宋_GB2312" w:eastAsia="仿宋_GB2312"/>
          <w:sz w:val="24"/>
        </w:rPr>
        <w:t>地址：</w:t>
      </w:r>
      <w:bookmarkStart w:id="4" w:name="OLE_LINK4"/>
    </w:p>
    <w:bookmarkEnd w:id="4"/>
    <w:p>
      <w:pPr>
        <w:spacing w:line="480" w:lineRule="exact"/>
        <w:rPr>
          <w:rFonts w:hint="eastAsia" w:ascii="仿宋_GB2312" w:eastAsia="仿宋_GB2312"/>
          <w:sz w:val="24"/>
          <w:lang w:eastAsia="zh-CN"/>
        </w:rPr>
      </w:pPr>
      <w:r>
        <w:rPr>
          <w:rFonts w:hint="eastAsia" w:ascii="仿宋_GB2312" w:eastAsia="仿宋_GB2312"/>
          <w:sz w:val="24"/>
        </w:rPr>
        <w:t>负责人：</w:t>
      </w:r>
    </w:p>
    <w:p>
      <w:pPr>
        <w:spacing w:line="480" w:lineRule="exact"/>
        <w:rPr>
          <w:rFonts w:ascii="仿宋_GB2312" w:eastAsia="仿宋_GB2312"/>
          <w:sz w:val="24"/>
        </w:rPr>
      </w:pPr>
      <w:r>
        <w:rPr>
          <w:rFonts w:hint="eastAsia" w:ascii="仿宋_GB2312" w:eastAsia="仿宋_GB2312"/>
          <w:sz w:val="24"/>
        </w:rPr>
        <w:t>（以下简称甲方）</w:t>
      </w:r>
    </w:p>
    <w:bookmarkEnd w:id="2"/>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乙方：</w:t>
      </w:r>
      <w:bookmarkStart w:id="5" w:name="OLE_LINK17"/>
    </w:p>
    <w:bookmarkEnd w:id="5"/>
    <w:p>
      <w:pPr>
        <w:spacing w:line="480" w:lineRule="exact"/>
        <w:rPr>
          <w:rFonts w:ascii="仿宋_GB2312" w:eastAsia="仿宋_GB2312"/>
          <w:sz w:val="24"/>
        </w:rPr>
      </w:pPr>
      <w:r>
        <w:rPr>
          <w:rFonts w:hint="eastAsia" w:ascii="仿宋_GB2312" w:eastAsia="仿宋_GB2312"/>
          <w:sz w:val="24"/>
        </w:rPr>
        <w:t>地址：</w:t>
      </w:r>
      <w:bookmarkStart w:id="6" w:name="OLE_LINK6"/>
    </w:p>
    <w:bookmarkEnd w:id="6"/>
    <w:p>
      <w:pPr>
        <w:spacing w:line="480" w:lineRule="exact"/>
        <w:rPr>
          <w:rFonts w:ascii="仿宋_GB2312" w:eastAsia="仿宋_GB2312"/>
          <w:sz w:val="24"/>
        </w:rPr>
      </w:pPr>
      <w:r>
        <w:rPr>
          <w:rFonts w:hint="eastAsia" w:ascii="仿宋_GB2312" w:eastAsia="仿宋_GB2312"/>
          <w:sz w:val="24"/>
        </w:rPr>
        <w:t>法定代表人：</w:t>
      </w:r>
    </w:p>
    <w:p>
      <w:pPr>
        <w:spacing w:line="480" w:lineRule="exact"/>
        <w:rPr>
          <w:rFonts w:ascii="仿宋_GB2312" w:eastAsia="仿宋_GB2312"/>
          <w:sz w:val="24"/>
        </w:rPr>
      </w:pPr>
      <w:r>
        <w:rPr>
          <w:rFonts w:hint="eastAsia" w:ascii="仿宋_GB2312" w:eastAsia="仿宋_GB2312"/>
          <w:sz w:val="24"/>
        </w:rPr>
        <w:t>（以下简称乙方）</w:t>
      </w:r>
    </w:p>
    <w:p>
      <w:pPr>
        <w:spacing w:line="48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pPr>
        <w:spacing w:line="460" w:lineRule="exact"/>
        <w:ind w:firstLine="480" w:firstLineChars="200"/>
        <w:rPr>
          <w:rFonts w:ascii="仿宋_GB2312" w:eastAsia="仿宋_GB2312"/>
          <w:sz w:val="24"/>
        </w:rPr>
      </w:pPr>
      <w:bookmarkStart w:id="7" w:name="OLE_LINK1"/>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bookmarkEnd w:id="7"/>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办理的营业执照主体具有一致性或关联性。乙方不得利用本合同项下甲方的资产以任何形式对外进行融资或设立担保，不得以甲方名义从事任何经营活动，不得将经营项目全部或部分转让给第三方。</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bookmarkStart w:id="8" w:name="OLE_LINK7"/>
      <w:r>
        <w:rPr>
          <w:rFonts w:hint="eastAsia" w:ascii="仿宋_GB2312" w:eastAsia="仿宋_GB2312"/>
          <w:sz w:val="24"/>
          <w:u w:val="single"/>
          <w:lang w:val="en-US" w:eastAsia="zh-CN"/>
        </w:rPr>
        <w:t xml:space="preserve">      </w:t>
      </w:r>
      <w:bookmarkEnd w:id="8"/>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pPr>
        <w:spacing w:line="460" w:lineRule="exact"/>
        <w:ind w:firstLine="480" w:firstLineChars="200"/>
        <w:rPr>
          <w:rFonts w:ascii="仿宋_GB2312" w:eastAsia="仿宋_GB2312"/>
          <w:sz w:val="24"/>
        </w:rPr>
      </w:pPr>
      <w:bookmarkStart w:id="9" w:name="OLE_LINK19"/>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bookmarkEnd w:id="9"/>
    <w:p>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如果乙方在装修期内开业，则装修期提前结束，开业日为经营管理费计算起始日，提前开业期间经营管理费不设保底，按实际经营天数计算（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固定经营管理费的5%折算；若乙方逾期开业超过15日的，甲方有权解除合同并要求乙方交还该物业，同时要求乙方支付第一个合同年度经营管理费标准1个月的固定经营管理费作为违约金。</w:t>
      </w:r>
    </w:p>
    <w:p>
      <w:pPr>
        <w:spacing w:after="31" w:line="460" w:lineRule="exact"/>
        <w:ind w:firstLine="480" w:firstLineChars="200"/>
        <w:rPr>
          <w:rFonts w:ascii="仿宋_GB2312" w:eastAsia="仿宋_GB2312"/>
          <w:sz w:val="24"/>
        </w:rPr>
      </w:pPr>
      <w:r>
        <w:rPr>
          <w:rFonts w:hint="eastAsia" w:ascii="仿宋_GB2312" w:eastAsia="仿宋_GB2312"/>
          <w:sz w:val="24"/>
        </w:rPr>
        <w:t>双方特别</w:t>
      </w:r>
      <w:r>
        <w:rPr>
          <w:rFonts w:hint="eastAsia" w:ascii="仿宋_GB2312" w:eastAsia="仿宋_GB2312"/>
          <w:sz w:val="24"/>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1. 乙方应向甲方支付经营管理费，</w:t>
      </w:r>
      <w:bookmarkStart w:id="10" w:name="OLE_LINK33"/>
      <w:r>
        <w:rPr>
          <w:rFonts w:hint="eastAsia" w:ascii="仿宋_GB2312" w:hAnsi="宋体" w:eastAsia="仿宋_GB2312"/>
          <w:sz w:val="24"/>
          <w:lang w:val="en-US" w:eastAsia="zh-CN"/>
        </w:rPr>
        <w:t>经营管理费实行预付，每一合同年度的经营管理费按（年/半年/季度）支付。乙方应于本合同每（年/半年/季度）开始前七个工作日内支付经营管理费，合同期第一（年/半年/季度）在合同签订后十日内向甲方支付经营管理费共计</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万</w:t>
      </w:r>
      <w:r>
        <w:rPr>
          <w:rFonts w:hint="eastAsia" w:ascii="仿宋_GB2312" w:hAnsi="仿宋_GB2312" w:eastAsia="仿宋_GB2312" w:cs="仿宋_GB2312"/>
          <w:bCs/>
          <w:sz w:val="24"/>
          <w:lang w:val="en-US" w:eastAsia="zh-CN"/>
        </w:rPr>
        <w:t>元（大写：</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万</w:t>
      </w:r>
      <w:r>
        <w:rPr>
          <w:rFonts w:hint="eastAsia" w:ascii="仿宋_GB2312" w:hAnsi="仿宋_GB2312" w:eastAsia="仿宋_GB2312" w:cs="仿宋_GB2312"/>
          <w:bCs/>
          <w:sz w:val="24"/>
          <w:lang w:val="en-US" w:eastAsia="zh-CN"/>
        </w:rPr>
        <w:t>元）</w:t>
      </w:r>
      <w:r>
        <w:rPr>
          <w:rFonts w:hint="eastAsia" w:ascii="仿宋_GB2312" w:hAnsi="仿宋_GB2312" w:eastAsia="仿宋_GB2312" w:cs="仿宋_GB2312"/>
          <w:sz w:val="24"/>
        </w:rPr>
        <w:t>。</w:t>
      </w:r>
      <w:r>
        <w:rPr>
          <w:rFonts w:hint="eastAsia" w:ascii="仿宋_GB2312" w:hAnsi="宋体" w:eastAsia="仿宋_GB2312"/>
          <w:sz w:val="24"/>
          <w:lang w:val="en-GB"/>
        </w:rPr>
        <w:t>一个合同年度按365天计算。</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bookmarkEnd w:id="10"/>
    <w:tbl>
      <w:tblPr>
        <w:tblStyle w:val="9"/>
        <w:tblpPr w:leftFromText="180" w:rightFromText="180" w:vertAnchor="text" w:horzAnchor="margin" w:tblpXSpec="center" w:tblpY="13"/>
        <w:tblOverlap w:val="never"/>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325"/>
        <w:gridCol w:w="1412"/>
        <w:gridCol w:w="143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bookmarkStart w:id="11" w:name="OLE_LINK34" w:colFirst="0" w:colLast="0"/>
            <w:r>
              <w:rPr>
                <w:rFonts w:hint="eastAsia" w:ascii="仿宋_GB2312" w:hAnsi="宋体" w:eastAsia="仿宋_GB2312"/>
                <w:sz w:val="24"/>
                <w:lang w:val="en-GB"/>
              </w:rPr>
              <w:t>固定经营管理费</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bookmarkEnd w:id="11"/>
    </w:tbl>
    <w:p>
      <w:pPr>
        <w:snapToGrid w:val="0"/>
        <w:spacing w:line="460" w:lineRule="exact"/>
        <w:ind w:firstLine="480" w:firstLineChars="200"/>
        <w:rPr>
          <w:rFonts w:ascii="仿宋_GB2312" w:hAnsi="宋体" w:eastAsia="仿宋_GB2312"/>
          <w:sz w:val="24"/>
          <w:lang w:val="en-GB"/>
        </w:rPr>
      </w:pPr>
      <w:r>
        <w:rPr>
          <w:rFonts w:ascii="仿宋_GB2312" w:hAnsi="宋体" w:eastAsia="仿宋_GB2312"/>
          <w:sz w:val="24"/>
          <w:lang w:val="en-GB"/>
        </w:rPr>
        <w:t xml:space="preserve">2. </w:t>
      </w:r>
      <w:r>
        <w:rPr>
          <w:rFonts w:hint="eastAsia" w:ascii="仿宋_GB2312" w:hAnsi="宋体" w:eastAsia="仿宋_GB2312"/>
          <w:sz w:val="24"/>
          <w:lang w:val="en-GB"/>
        </w:rPr>
        <w:t>关于营业收入上报的要求：乙方必须将全部营业收入每日通过数据接入等形式接入</w:t>
      </w:r>
      <w:r>
        <w:rPr>
          <w:rFonts w:hint="eastAsia" w:ascii="仿宋_GB2312" w:hAnsi="宋体" w:eastAsia="仿宋_GB2312"/>
          <w:sz w:val="24"/>
          <w:lang w:val="en-US" w:eastAsia="zh-CN"/>
        </w:rPr>
        <w:t>浙江商业集团收银</w:t>
      </w:r>
      <w:r>
        <w:rPr>
          <w:rFonts w:hint="eastAsia" w:ascii="仿宋_GB2312" w:hAnsi="宋体" w:eastAsia="仿宋_GB2312"/>
          <w:sz w:val="24"/>
          <w:lang w:val="en-GB"/>
        </w:rPr>
        <w:t>系统，因此而产生的全部费用由乙方承担，乙方服从甲方收银稽核相关管理要求，乙方的营业收入必须按照要求全部如实接入</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，如发现乙方未按要求执行，乙方应按【】元/次缴纳违约金并由甲方从履约保证金扣除；一个合同年度内如发现乙方累计有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次以上该违约情形的，甲方有权单方解除合同并将乙方列入黑名单，取消乙方进驻浙江省商业集团有限公司下属服务区经营的资格。后期如遇甲方收银模式调整，乙方需予以配合执行。</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US" w:eastAsia="zh-CN"/>
        </w:rPr>
        <w:t>3</w:t>
      </w:r>
      <w:r>
        <w:rPr>
          <w:rFonts w:hint="eastAsia" w:ascii="仿宋_GB2312" w:hAnsi="宋体" w:eastAsia="仿宋_GB2312"/>
          <w:sz w:val="24"/>
          <w:lang w:val="en-GB"/>
        </w:rPr>
        <w:t>.</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六、能源管理费及物业管理费</w:t>
      </w:r>
    </w:p>
    <w:p>
      <w:pPr>
        <w:spacing w:line="460" w:lineRule="exact"/>
        <w:ind w:firstLine="480" w:firstLineChars="200"/>
        <w:rPr>
          <w:rFonts w:ascii="仿宋_GB2312" w:eastAsia="仿宋_GB2312"/>
          <w:sz w:val="24"/>
        </w:rPr>
      </w:pPr>
      <w:r>
        <w:rPr>
          <w:rFonts w:hint="eastAsia" w:ascii="仿宋_GB2312" w:eastAsia="仿宋_GB2312"/>
          <w:sz w:val="24"/>
        </w:rPr>
        <w:t>（一）能源管理费</w:t>
      </w:r>
    </w:p>
    <w:p>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pPr>
        <w:spacing w:line="460" w:lineRule="exact"/>
        <w:ind w:firstLine="480" w:firstLineChars="200"/>
        <w:rPr>
          <w:rFonts w:hint="eastAsia" w:ascii="仿宋_GB2312" w:eastAsia="仿宋_GB2312"/>
          <w:sz w:val="24"/>
        </w:rPr>
      </w:pPr>
      <w:bookmarkStart w:id="12" w:name="OLE_LINK25"/>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bookmarkEnd w:id="12"/>
    </w:p>
    <w:p>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需及时支付垫付的款项。本合同项下的相关部门，是指为租赁场地供应水、电、燃气等能源并收取相关能源费用的机构和单位。</w:t>
      </w:r>
    </w:p>
    <w:p>
      <w:pPr>
        <w:numPr>
          <w:ilvl w:val="0"/>
          <w:numId w:val="1"/>
        </w:numPr>
        <w:spacing w:line="460" w:lineRule="exact"/>
        <w:ind w:firstLine="480" w:firstLineChars="200"/>
        <w:rPr>
          <w:rFonts w:ascii="仿宋_GB2312" w:eastAsia="仿宋_GB2312"/>
          <w:sz w:val="24"/>
        </w:rPr>
      </w:pPr>
      <w:r>
        <w:rPr>
          <w:rFonts w:hint="eastAsia" w:ascii="仿宋_GB2312" w:eastAsia="仿宋_GB2312"/>
          <w:sz w:val="24"/>
        </w:rPr>
        <w:t>物业管理费</w:t>
      </w:r>
    </w:p>
    <w:p>
      <w:pPr>
        <w:numPr>
          <w:ilvl w:val="255"/>
          <w:numId w:val="0"/>
        </w:numPr>
        <w:spacing w:line="460" w:lineRule="exact"/>
        <w:ind w:firstLine="480" w:firstLineChars="200"/>
        <w:rPr>
          <w:rFonts w:ascii="仿宋_GB2312" w:eastAsia="仿宋_GB2312"/>
          <w:sz w:val="24"/>
        </w:rPr>
      </w:pPr>
      <w:bookmarkStart w:id="13" w:name="OLE_LINK26"/>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hint="eastAsia" w:ascii="仿宋_GB2312" w:hAnsi="宋体" w:eastAsia="仿宋_GB2312"/>
          <w:sz w:val="24"/>
          <w:lang w:val="en-GB"/>
        </w:rPr>
        <w:t>【】</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平方米/月。甲方有权因该场地物业管理成本变化而经书面通知乙方后统一调整物业管理费的收费标准以维持该场地的管理水准，但以不违反政府有关规定为限度。</w:t>
      </w:r>
    </w:p>
    <w:bookmarkEnd w:id="13"/>
    <w:p>
      <w:pPr>
        <w:spacing w:line="46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能源管理费和物业管理费由甲方按</w:t>
      </w:r>
      <w:r>
        <w:rPr>
          <w:rFonts w:hint="eastAsia" w:ascii="仿宋_GB2312" w:hAnsi="宋体" w:eastAsia="仿宋_GB2312"/>
          <w:sz w:val="24"/>
          <w:highlight w:val="none"/>
          <w:u w:val="single"/>
        </w:rPr>
        <w:t>月</w:t>
      </w:r>
      <w:r>
        <w:rPr>
          <w:rFonts w:hint="eastAsia" w:ascii="仿宋_GB2312" w:hAnsi="宋体" w:eastAsia="仿宋_GB2312"/>
          <w:sz w:val="24"/>
          <w:highlight w:val="none"/>
        </w:rPr>
        <w:t>向乙方收取，乙方应于收到甲方通知后的</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个工作日内支付。</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color w:val="auto"/>
          <w:sz w:val="24"/>
        </w:rPr>
        <w:t>乙方应在本合同签署前</w:t>
      </w:r>
      <w:r>
        <w:rPr>
          <w:rFonts w:hint="eastAsia" w:ascii="仿宋_GB2312" w:eastAsia="仿宋_GB2312"/>
          <w:color w:val="auto"/>
          <w:sz w:val="24"/>
          <w:lang w:val="en-US" w:eastAsia="zh-CN"/>
        </w:rPr>
        <w:t>5个工作日</w:t>
      </w:r>
      <w:r>
        <w:rPr>
          <w:rFonts w:hint="eastAsia" w:ascii="仿宋_GB2312" w:eastAsia="仿宋_GB2312"/>
          <w:color w:val="auto"/>
          <w:sz w:val="24"/>
        </w:rPr>
        <w:t>向甲方一次性支付履约保证金合计为人民币</w:t>
      </w:r>
      <w:r>
        <w:rPr>
          <w:rFonts w:hint="eastAsia" w:ascii="仿宋_GB2312" w:hAnsi="宋体" w:eastAsia="仿宋_GB2312"/>
          <w:color w:val="auto"/>
          <w:sz w:val="24"/>
          <w:lang w:val="en-GB"/>
        </w:rPr>
        <w:t>【】</w:t>
      </w:r>
      <w:r>
        <w:rPr>
          <w:rFonts w:hint="eastAsia" w:ascii="仿宋_GB2312" w:eastAsia="仿宋_GB2312"/>
          <w:color w:val="auto"/>
          <w:sz w:val="24"/>
        </w:rPr>
        <w:t>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color w:val="auto"/>
          <w:sz w:val="24"/>
        </w:rPr>
        <w:t>，对本合</w:t>
      </w:r>
      <w:r>
        <w:rPr>
          <w:rFonts w:hint="eastAsia" w:ascii="仿宋_GB2312" w:eastAsia="仿宋_GB2312"/>
          <w:sz w:val="24"/>
        </w:rPr>
        <w:t>同履行过程中的事项，包括但不限于：经营管理费、服务质量、设施损坏、人身损害、甲方代收代缴费用、税款、违约赔偿金等进行担保。</w:t>
      </w:r>
    </w:p>
    <w:p>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五日内将有关保单及已付保费凭证等证明文件呈交甲方审核备案。同时，该等保险应当在合同期限内持续有效。</w:t>
      </w:r>
    </w:p>
    <w:p>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C00000"/>
          <w:sz w:val="24"/>
          <w:lang w:val="en-US" w:eastAsia="zh-CN"/>
        </w:rPr>
        <w:t>3</w:t>
      </w:r>
      <w:r>
        <w:rPr>
          <w:rFonts w:hint="eastAsia" w:ascii="仿宋_GB2312" w:hAnsi="宋体" w:eastAsia="仿宋_GB2312"/>
          <w:color w:val="C00000"/>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（13）乙方在本合同履行期间未经甲方同意，转租给其第三方或用</w:t>
      </w:r>
      <w:r>
        <w:rPr>
          <w:rFonts w:hint="eastAsia" w:ascii="仿宋_GB2312" w:eastAsia="仿宋_GB2312"/>
          <w:sz w:val="24"/>
          <w:lang w:val="en-US" w:eastAsia="zh-CN"/>
        </w:rPr>
        <w:t>其他</w:t>
      </w:r>
      <w:r>
        <w:rPr>
          <w:rFonts w:hint="eastAsia" w:ascii="仿宋_GB2312" w:eastAsia="仿宋_GB2312"/>
          <w:sz w:val="24"/>
        </w:rPr>
        <w:t>手段与第三方共同经营时</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pPr>
        <w:widowControl/>
        <w:spacing w:line="460" w:lineRule="exact"/>
        <w:ind w:firstLine="420" w:firstLineChars="200"/>
        <w:rPr>
          <w:rFonts w:hint="eastAsia" w:ascii="仿宋_GB2312" w:eastAsia="仿宋_GB2312"/>
          <w:sz w:val="24"/>
          <w:lang w:eastAsia="zh-CN"/>
        </w:rPr>
      </w:pPr>
      <w:r>
        <w:rPr>
          <w:rFonts w:hint="eastAsia"/>
          <w:lang w:val="en-US" w:eastAsia="zh-CN"/>
        </w:rPr>
        <w:t xml:space="preserve"> </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w:t>
      </w:r>
      <w:r>
        <w:rPr>
          <w:rFonts w:hint="eastAsia" w:ascii="仿宋_GB2312" w:eastAsia="仿宋_GB2312"/>
          <w:color w:val="auto"/>
          <w:sz w:val="24"/>
          <w:szCs w:val="24"/>
          <w:lang w:val="en-US" w:eastAsia="zh-CN"/>
        </w:rPr>
        <w:t>招商文件及本</w:t>
      </w:r>
      <w:r>
        <w:rPr>
          <w:rFonts w:hint="eastAsia" w:ascii="仿宋_GB2312" w:eastAsia="仿宋_GB2312"/>
          <w:color w:val="auto"/>
          <w:sz w:val="24"/>
          <w:szCs w:val="24"/>
        </w:rPr>
        <w:t>合同注明的应纳入黑名单制度的情况。</w:t>
      </w:r>
    </w:p>
    <w:p>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3.因甲方或上级单位发展战略调整、政府行为等原因需提前与乙方解除合同的，甲方可经提前一个月书面通知乙方解除本合同。</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4．</w:t>
      </w:r>
      <w:r>
        <w:rPr>
          <w:rFonts w:hint="eastAsia" w:ascii="仿宋_GB2312" w:eastAsia="仿宋_GB2312"/>
          <w:b w:val="0"/>
          <w:bCs/>
          <w:sz w:val="24"/>
          <w:highlight w:val="none"/>
        </w:rPr>
        <w:t>乙方</w:t>
      </w:r>
      <w:r>
        <w:rPr>
          <w:rFonts w:hint="eastAsia" w:ascii="仿宋_GB2312" w:eastAsia="仿宋_GB2312"/>
          <w:b w:val="0"/>
          <w:bCs/>
          <w:color w:val="auto"/>
          <w:sz w:val="24"/>
          <w:szCs w:val="24"/>
          <w:highlight w:val="none"/>
        </w:rPr>
        <w:t>经营项目经营满6个月、且提前3个月提出退场（或愿意缴纳3个月经营管理费等）的，允许其正常退场。对于实际经营满6个月、</w:t>
      </w:r>
      <w:r>
        <w:rPr>
          <w:rFonts w:hint="eastAsia" w:ascii="仿宋_GB2312" w:eastAsia="仿宋_GB2312"/>
          <w:b w:val="0"/>
          <w:bCs/>
          <w:sz w:val="24"/>
          <w:highlight w:val="none"/>
        </w:rPr>
        <w:t>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color w:val="auto"/>
          <w:sz w:val="24"/>
          <w:szCs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固定</w:t>
      </w:r>
      <w:r>
        <w:rPr>
          <w:rFonts w:hint="eastAsia" w:ascii="仿宋_GB2312" w:hAnsi="宋体" w:eastAsia="仿宋_GB2312"/>
          <w:sz w:val="24"/>
        </w:rPr>
        <w:t>经营管理费的双倍支付甲方违约金，且甲方有权直接从履约保证金中扣除相应款项。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pPr>
        <w:numPr>
          <w:ilvl w:val="0"/>
          <w:numId w:val="2"/>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w:t>
      </w:r>
      <w:r>
        <w:rPr>
          <w:rFonts w:hint="eastAsia" w:ascii="仿宋_GB2312" w:eastAsia="仿宋_GB2312"/>
          <w:sz w:val="24"/>
          <w:u w:val="single"/>
        </w:rPr>
        <w:t>3</w:t>
      </w:r>
      <w:r>
        <w:rPr>
          <w:rFonts w:hint="eastAsia" w:ascii="仿宋_GB2312" w:eastAsia="仿宋_GB2312"/>
          <w:sz w:val="24"/>
        </w:rPr>
        <w:t>日内将该租赁场地连同其所有的附属物、装置、附加物，恢复至符合本合同约定的交付条件之状态并交还甲方，由此发生的费用由乙方承担。</w:t>
      </w:r>
    </w:p>
    <w:p>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固定</w:t>
      </w:r>
      <w:r>
        <w:rPr>
          <w:rFonts w:hint="eastAsia" w:ascii="仿宋_GB2312" w:eastAsia="仿宋_GB2312"/>
          <w:sz w:val="24"/>
        </w:rPr>
        <w:t>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电子邮箱：</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pPr>
        <w:spacing w:line="460" w:lineRule="exact"/>
        <w:ind w:firstLine="480" w:firstLineChars="200"/>
        <w:rPr>
          <w:rFonts w:ascii="仿宋_GB2312" w:eastAsia="仿宋_GB2312"/>
          <w:sz w:val="24"/>
        </w:rPr>
      </w:pPr>
      <w:r>
        <w:rPr>
          <w:rFonts w:hint="eastAsia" w:ascii="仿宋_GB2312" w:eastAsia="仿宋_GB2312"/>
          <w:sz w:val="24"/>
        </w:rPr>
        <w:t>1. 本合同一式</w:t>
      </w:r>
      <w:r>
        <w:rPr>
          <w:rFonts w:hint="eastAsia" w:ascii="仿宋_GB2312" w:eastAsia="仿宋_GB2312"/>
          <w:sz w:val="24"/>
          <w:lang w:val="en-US" w:eastAsia="zh-CN"/>
        </w:rPr>
        <w:t>四</w:t>
      </w:r>
      <w:r>
        <w:rPr>
          <w:rFonts w:hint="eastAsia" w:ascii="仿宋_GB2312" w:eastAsia="仿宋_GB2312"/>
          <w:sz w:val="24"/>
        </w:rPr>
        <w:t>份，甲、乙双方各执两份，每份具有同等法律效力。</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pPr>
        <w:adjustRightInd w:val="0"/>
        <w:snapToGrid w:val="0"/>
        <w:spacing w:line="360" w:lineRule="auto"/>
        <w:rPr>
          <w:rFonts w:ascii="宋体" w:hAnsi="宋体"/>
          <w:sz w:val="24"/>
          <w:lang w:val="en-GB"/>
        </w:rPr>
      </w:pPr>
      <w:r>
        <w:rPr>
          <w:rFonts w:hint="eastAsia" w:ascii="仿宋_GB2312" w:hAnsi="宋体" w:eastAsia="仿宋_GB2312"/>
          <w:sz w:val="24"/>
          <w:lang w:val="en-GB"/>
        </w:rPr>
        <w:t>（以下无正文）</w:t>
      </w:r>
    </w:p>
    <w:p>
      <w:pPr>
        <w:spacing w:line="480" w:lineRule="exact"/>
        <w:rPr>
          <w:rFonts w:ascii="仿宋_GB2312" w:hAnsi="宋体" w:eastAsia="仿宋_GB2312"/>
          <w:sz w:val="24"/>
          <w:lang w:val="en-GB"/>
        </w:rPr>
      </w:pPr>
      <w:bookmarkStart w:id="14" w:name="OLE_LINK28"/>
      <w:r>
        <w:rPr>
          <w:rFonts w:hint="eastAsia" w:ascii="仿宋_GB2312" w:hAnsi="宋体" w:eastAsia="仿宋_GB2312"/>
          <w:sz w:val="24"/>
          <w:lang w:val="en-GB"/>
        </w:rPr>
        <w:t>甲方：</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bookmarkEnd w:id="14"/>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乙方：法定代表人（或授权代表）：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pPr>
        <w:widowControl/>
        <w:jc w:val="left"/>
        <w:rPr>
          <w:rFonts w:ascii="仿宋_GB2312" w:hAnsi="宋体" w:eastAsia="仿宋_GB2312"/>
          <w:sz w:val="24"/>
          <w:lang w:val="en-GB"/>
        </w:rPr>
      </w:pP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pPr>
        <w:snapToGrid w:val="0"/>
        <w:spacing w:line="460" w:lineRule="exact"/>
        <w:rPr>
          <w:rFonts w:ascii="仿宋_GB2312" w:hAnsi="宋体" w:eastAsia="仿宋_GB2312"/>
          <w:sz w:val="24"/>
          <w:highlight w:val="yellow"/>
        </w:rPr>
      </w:pPr>
      <w:r>
        <w:rPr>
          <w:rFonts w:hint="eastAsia" w:ascii="仿宋_GB2312" w:hAnsi="宋体" w:eastAsia="仿宋_GB2312"/>
          <w:sz w:val="24"/>
        </w:rPr>
        <w:t>4</w:t>
      </w:r>
      <w:r>
        <w:rPr>
          <w:rFonts w:hint="eastAsia" w:ascii="仿宋_GB2312" w:hAnsi="宋体" w:eastAsia="仿宋_GB2312"/>
          <w:sz w:val="24"/>
          <w:lang w:val="en-GB"/>
        </w:rPr>
        <w:t>.</w:t>
      </w:r>
      <w:r>
        <w:rPr>
          <w:rFonts w:hint="eastAsia" w:ascii="仿宋_GB2312" w:hAnsi="宋体" w:eastAsia="仿宋_GB2312"/>
          <w:sz w:val="24"/>
        </w:rPr>
        <w:t xml:space="preserve"> 承诺函</w:t>
      </w:r>
    </w:p>
    <w:p>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pPr>
        <w:snapToGrid w:val="0"/>
        <w:spacing w:line="460" w:lineRule="exact"/>
        <w:rPr>
          <w:rFonts w:ascii="仿宋_GB2312" w:hAnsi="宋体" w:eastAsia="仿宋_GB2312"/>
          <w:color w:val="C00000"/>
          <w:sz w:val="24"/>
          <w:highlight w:val="none"/>
        </w:rPr>
      </w:pPr>
      <w:r>
        <w:rPr>
          <w:rFonts w:hint="eastAsia" w:ascii="仿宋_GB2312" w:hAnsi="宋体" w:eastAsia="仿宋_GB2312"/>
          <w:color w:val="C00000"/>
          <w:sz w:val="24"/>
          <w:highlight w:val="none"/>
        </w:rPr>
        <w:t>6. 项目产品清单</w:t>
      </w:r>
    </w:p>
    <w:p>
      <w:pPr>
        <w:rPr>
          <w:rFonts w:ascii="仿宋_GB2312" w:hAnsi="宋体" w:eastAsia="仿宋_GB2312"/>
          <w:sz w:val="24"/>
        </w:rPr>
      </w:pPr>
      <w:r>
        <w:rPr>
          <w:rFonts w:hint="eastAsia"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15" w:name="_Hlk101977439"/>
      <w:r>
        <w:rPr>
          <w:rFonts w:hint="eastAsia" w:asciiTheme="majorEastAsia" w:hAnsiTheme="majorEastAsia" w:eastAsiaTheme="majorEastAsia"/>
          <w:b/>
          <w:sz w:val="32"/>
          <w:lang w:val="en-GB"/>
        </w:rPr>
        <w:t>附件1：经营场地图纸</w:t>
      </w:r>
    </w:p>
    <w:p>
      <w:pPr>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r>
        <w:rPr>
          <w:rFonts w:ascii="仿宋_GB2312" w:hAnsi="宋体" w:eastAsia="仿宋_GB2312"/>
          <w:sz w:val="24"/>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cs="仿宋_GB2312"/>
          <w:color w:val="000000"/>
          <w:sz w:val="24"/>
        </w:rPr>
      </w:pPr>
      <w:bookmarkStart w:id="16" w:name="OLE_LINK29"/>
      <w:r>
        <w:rPr>
          <w:rFonts w:hint="eastAsia" w:ascii="仿宋" w:hAnsi="仿宋" w:eastAsia="仿宋" w:cs="仿宋_GB2312"/>
          <w:color w:val="000000"/>
          <w:sz w:val="24"/>
        </w:rPr>
        <w:t>甲方：</w:t>
      </w:r>
      <w:bookmarkStart w:id="17" w:name="OLE_LINK9"/>
    </w:p>
    <w:bookmarkEnd w:id="17"/>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负责人： </w:t>
      </w:r>
    </w:p>
    <w:p>
      <w:pPr>
        <w:snapToGrid w:val="0"/>
        <w:spacing w:line="460" w:lineRule="exact"/>
        <w:ind w:firstLine="480" w:firstLineChars="200"/>
        <w:rPr>
          <w:rFonts w:ascii="仿宋" w:hAnsi="仿宋" w:eastAsia="仿宋" w:cs="仿宋_GB2312"/>
          <w:color w:val="000000"/>
          <w:sz w:val="24"/>
        </w:rPr>
      </w:pPr>
    </w:p>
    <w:bookmarkEnd w:id="16"/>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乙方： </w:t>
      </w:r>
    </w:p>
    <w:p>
      <w:pPr>
        <w:spacing w:line="48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r>
        <w:rPr>
          <w:rFonts w:hint="eastAsia" w:ascii="仿宋" w:hAnsi="仿宋" w:eastAsia="仿宋"/>
          <w:sz w:val="24"/>
        </w:rPr>
        <w:t>：</w:t>
      </w:r>
    </w:p>
    <w:p>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pPr>
        <w:snapToGrid/>
        <w:spacing w:line="460" w:lineRule="exact"/>
        <w:ind w:firstLine="480" w:firstLineChars="200"/>
        <w:rPr>
          <w:rFonts w:hint="eastAsia" w:ascii="黑体" w:hAnsi="黑体" w:eastAsia="黑体" w:cs="黑体"/>
          <w:bCs/>
          <w:color w:val="auto"/>
          <w:sz w:val="24"/>
        </w:rPr>
      </w:pPr>
      <w:bookmarkStart w:id="18" w:name="OLE_LINK30"/>
      <w:r>
        <w:rPr>
          <w:rFonts w:hint="eastAsia" w:ascii="黑体" w:hAnsi="黑体" w:eastAsia="黑体" w:cs="黑体"/>
          <w:bCs/>
          <w:color w:val="auto"/>
          <w:sz w:val="24"/>
        </w:rPr>
        <w:t>一、</w:t>
      </w:r>
      <w:r>
        <w:rPr>
          <w:rFonts w:hint="eastAsia" w:ascii="黑体" w:hAnsi="黑体" w:eastAsia="黑体" w:cs="黑体"/>
          <w:bCs/>
          <w:sz w:val="24"/>
        </w:rPr>
        <w:t>甲方位于_____高速公路____服务区</w:t>
      </w:r>
      <w:r>
        <w:rPr>
          <w:rFonts w:hint="eastAsia" w:ascii="黑体" w:hAnsi="黑体" w:eastAsia="黑体" w:cs="黑体"/>
          <w:bCs/>
          <w:sz w:val="24"/>
          <w:u w:val="none"/>
        </w:rPr>
        <w:t xml:space="preserve">        </w:t>
      </w:r>
      <w:r>
        <w:rPr>
          <w:rFonts w:hint="eastAsia" w:ascii="黑体" w:hAnsi="黑体" w:eastAsia="黑体" w:cs="黑体"/>
          <w:bCs/>
          <w:sz w:val="24"/>
        </w:rPr>
        <w:t>项目由乙方负责经营</w:t>
      </w:r>
      <w:r>
        <w:rPr>
          <w:rFonts w:hint="eastAsia" w:ascii="黑体" w:hAnsi="黑体" w:eastAsia="黑体" w:cs="黑体"/>
          <w:bCs/>
          <w:color w:val="auto"/>
          <w:sz w:val="24"/>
        </w:rPr>
        <w:t>。</w:t>
      </w:r>
      <w:bookmarkEnd w:id="18"/>
    </w:p>
    <w:p>
      <w:pPr>
        <w:spacing w:line="460" w:lineRule="exact"/>
        <w:ind w:left="0" w:firstLine="480" w:firstLineChars="200"/>
        <w:rPr>
          <w:rFonts w:hint="eastAsia" w:ascii="黑体" w:hAnsi="黑体" w:eastAsia="黑体" w:cs="黑体"/>
          <w:bCs/>
          <w:color w:val="auto"/>
          <w:sz w:val="24"/>
        </w:rPr>
      </w:pPr>
      <w:r>
        <w:rPr>
          <w:rFonts w:hint="eastAsia" w:ascii="黑体" w:hAnsi="黑体" w:eastAsia="黑体" w:cs="黑体"/>
          <w:bCs/>
          <w:color w:val="auto"/>
          <w:sz w:val="24"/>
        </w:rPr>
        <w:t>二、甲方的安全管理职责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pPr>
        <w:autoSpaceDE/>
        <w:autoSpaceDN/>
        <w:adjustRightInd/>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三</w:t>
      </w:r>
      <w:r>
        <w:rPr>
          <w:rFonts w:hint="eastAsia" w:ascii="黑体" w:hAnsi="黑体" w:eastAsia="黑体" w:cs="黑体"/>
          <w:bCs/>
          <w:color w:val="auto"/>
          <w:sz w:val="24"/>
        </w:rPr>
        <w:t>、乙方的安全管理职责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5、凡涉及特种设备的，应取得相应的检验检测合格证书后，方可投入生产经营，设备和作业人员按规定参加检验和验证。</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sz w:val="24"/>
          <w:lang w:val="zh-CN"/>
        </w:rPr>
        <w:t>6、在生产经营中采用新技术、新工艺、新设备、新材料时，必须制定相应的安全技术措施。</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fill="auto"/>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highlight w:val="none"/>
          <w:lang w:val="zh-CN"/>
        </w:rPr>
        <w:t>，职工身体状况均必须满足国家、行业健康标准要求。</w:t>
      </w:r>
      <w:r>
        <w:rPr>
          <w:rFonts w:hint="eastAsia" w:ascii="仿宋" w:hAnsi="仿宋" w:eastAsia="仿宋" w:cs="仿宋_GB2312"/>
          <w:sz w:val="24"/>
          <w:lang w:val="zh-CN"/>
        </w:rPr>
        <w:t>新员工未经安全教育和培训，不得上岗。</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pPr>
        <w:spacing w:line="500" w:lineRule="exact"/>
        <w:ind w:firstLine="600" w:firstLineChars="25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pPr>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四</w:t>
      </w:r>
      <w:r>
        <w:rPr>
          <w:rFonts w:hint="eastAsia" w:ascii="黑体" w:hAnsi="黑体" w:eastAsia="黑体" w:cs="黑体"/>
          <w:bCs/>
          <w:color w:val="auto"/>
          <w:sz w:val="24"/>
        </w:rPr>
        <w:t>、其他条款</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（一）履约保证金条款</w:t>
      </w:r>
    </w:p>
    <w:p>
      <w:pPr>
        <w:spacing w:line="500" w:lineRule="exact"/>
        <w:ind w:firstLine="600" w:firstLineChars="250"/>
        <w:rPr>
          <w:rFonts w:ascii="仿宋" w:hAnsi="仿宋" w:eastAsia="仿宋" w:cs="仿宋_GB2312"/>
          <w:sz w:val="24"/>
          <w:lang w:val="zh-CN"/>
        </w:rPr>
      </w:pPr>
      <w:r>
        <w:rPr>
          <w:rFonts w:hint="eastAsia" w:ascii="仿宋" w:hAnsi="仿宋" w:eastAsia="仿宋" w:cs="仿宋_GB2312"/>
          <w:sz w:val="24"/>
          <w:lang w:val="zh-CN"/>
        </w:rPr>
        <w:t>1、履约保证金还用于经营期内的安全管理。对乙方安全管理不到位、不服从甲方安全管理的，甲方有权从履约保证金内扣除，用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2、乙方出现违反安全协议约定情形的，甲方有权按每次人民币1000——10000 元，从履约保证金中扣除。</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3、乙方在经营期内发生责任死亡事故的，甲方有权对乙方处以人民币5-10万元/人的处罚。</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（二）安全生产责任风险的承担</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pPr>
        <w:spacing w:line="480" w:lineRule="exact"/>
        <w:ind w:firstLine="482" w:firstLineChars="200"/>
        <w:jc w:val="left"/>
        <w:outlineLvl w:val="1"/>
        <w:rPr>
          <w:rFonts w:ascii="仿宋" w:hAnsi="仿宋" w:eastAsia="仿宋" w:cs="仿宋_GB2312"/>
          <w:b/>
          <w:bCs/>
          <w:color w:val="000000"/>
          <w:sz w:val="24"/>
        </w:rPr>
      </w:pPr>
      <w:r>
        <w:rPr>
          <w:rFonts w:hint="eastAsia" w:ascii="仿宋" w:hAnsi="仿宋" w:eastAsia="仿宋" w:cs="仿宋_GB2312"/>
          <w:b/>
          <w:bCs/>
          <w:color w:val="000000"/>
          <w:sz w:val="24"/>
          <w:lang w:val="en-US" w:eastAsia="zh-CN"/>
        </w:rPr>
        <w:t>五</w:t>
      </w:r>
      <w:r>
        <w:rPr>
          <w:rFonts w:hint="eastAsia" w:ascii="仿宋" w:hAnsi="仿宋" w:eastAsia="仿宋" w:cs="仿宋_GB2312"/>
          <w:b/>
          <w:bCs/>
          <w:color w:val="000000"/>
          <w:sz w:val="24"/>
        </w:rPr>
        <w:t>、本合同的签订作为甲、乙双方于年月日签订的</w:t>
      </w:r>
      <w:bookmarkStart w:id="19" w:name="OLE_LINK13"/>
      <w:r>
        <w:rPr>
          <w:rFonts w:hint="eastAsia" w:ascii="仿宋_GB2312" w:hAnsi="宋体" w:eastAsia="仿宋_GB2312"/>
          <w:b/>
          <w:bCs/>
          <w:sz w:val="24"/>
          <w:lang w:val="en-GB"/>
        </w:rPr>
        <w:t>【】</w:t>
      </w:r>
      <w:bookmarkEnd w:id="19"/>
      <w:r>
        <w:rPr>
          <w:rFonts w:hint="eastAsia" w:ascii="仿宋" w:hAnsi="仿宋" w:eastAsia="仿宋" w:cs="仿宋_GB2312"/>
          <w:b/>
          <w:bCs/>
          <w:color w:val="000000"/>
          <w:sz w:val="24"/>
        </w:rPr>
        <w:t>的附件，与主合同具有同等法律效力。</w:t>
      </w:r>
    </w:p>
    <w:p>
      <w:pPr>
        <w:spacing w:line="50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六</w:t>
      </w:r>
      <w:r>
        <w:rPr>
          <w:rFonts w:hint="eastAsia" w:ascii="黑体" w:hAnsi="黑体" w:eastAsia="黑体" w:cs="黑体"/>
          <w:bCs/>
          <w:color w:val="auto"/>
          <w:sz w:val="24"/>
        </w:rPr>
        <w:t>、本合同经甲、乙双方签字盖章后生效</w:t>
      </w:r>
      <w:r>
        <w:rPr>
          <w:rFonts w:hint="eastAsia" w:ascii="黑体" w:hAnsi="黑体" w:eastAsia="黑体" w:cs="黑体"/>
          <w:bCs/>
          <w:color w:val="auto"/>
          <w:sz w:val="24"/>
          <w:lang w:eastAsia="zh-CN"/>
        </w:rPr>
        <w:t>，</w:t>
      </w:r>
      <w:r>
        <w:rPr>
          <w:rFonts w:hint="eastAsia" w:ascii="黑体" w:hAnsi="黑体" w:eastAsia="黑体" w:cs="黑体"/>
          <w:bCs/>
          <w:color w:val="auto"/>
          <w:sz w:val="24"/>
          <w:lang w:val="en-US" w:eastAsia="zh-CN"/>
        </w:rPr>
        <w:t>合同</w:t>
      </w:r>
      <w:r>
        <w:rPr>
          <w:rFonts w:hint="eastAsia" w:ascii="黑体" w:hAnsi="黑体" w:eastAsia="黑体" w:cs="黑体"/>
          <w:bCs/>
          <w:color w:val="auto"/>
          <w:sz w:val="24"/>
        </w:rPr>
        <w:t>一式</w:t>
      </w:r>
      <w:r>
        <w:rPr>
          <w:rFonts w:hint="eastAsia" w:ascii="黑体" w:hAnsi="黑体" w:eastAsia="黑体" w:cs="黑体"/>
          <w:bCs/>
          <w:sz w:val="24"/>
          <w:lang w:val="en-US" w:eastAsia="zh-CN"/>
        </w:rPr>
        <w:t>四</w:t>
      </w:r>
      <w:r>
        <w:rPr>
          <w:rFonts w:hint="eastAsia" w:ascii="黑体" w:hAnsi="黑体" w:eastAsia="黑体" w:cs="黑体"/>
          <w:bCs/>
          <w:color w:val="auto"/>
          <w:sz w:val="24"/>
        </w:rPr>
        <w:t>份，合同双方各执两份，每份具有同等法律效力。</w:t>
      </w:r>
    </w:p>
    <w:p>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bookmarkStart w:id="20" w:name="OLE_LINK31"/>
      <w:r>
        <w:rPr>
          <w:rFonts w:hint="eastAsia" w:ascii="仿宋" w:hAnsi="仿宋" w:eastAsia="仿宋"/>
          <w:sz w:val="24"/>
          <w:lang w:val="en-GB"/>
        </w:rPr>
        <w:t>甲方：</w:t>
      </w:r>
    </w:p>
    <w:p>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bookmarkEnd w:id="20"/>
    <w:p>
      <w:pPr>
        <w:adjustRightInd w:val="0"/>
        <w:snapToGrid w:val="0"/>
        <w:spacing w:line="360" w:lineRule="auto"/>
        <w:rPr>
          <w:rFonts w:ascii="仿宋" w:hAnsi="仿宋" w:eastAsia="仿宋"/>
          <w:sz w:val="24"/>
          <w:lang w:val="en-GB"/>
        </w:rPr>
      </w:pPr>
    </w:p>
    <w:p>
      <w:pPr>
        <w:snapToGrid w:val="0"/>
        <w:spacing w:line="460" w:lineRule="exact"/>
        <w:rPr>
          <w:rFonts w:hint="eastAsia" w:ascii="仿宋" w:hAnsi="仿宋" w:eastAsia="仿宋"/>
          <w:sz w:val="24"/>
          <w:lang w:val="en-GB"/>
        </w:rPr>
      </w:pPr>
      <w:r>
        <w:rPr>
          <w:rFonts w:hint="eastAsia" w:ascii="仿宋" w:hAnsi="仿宋" w:eastAsia="仿宋"/>
          <w:sz w:val="24"/>
          <w:lang w:val="en-GB"/>
        </w:rPr>
        <w:t>乙方：</w:t>
      </w:r>
      <w:bookmarkStart w:id="21" w:name="OLE_LINK12"/>
    </w:p>
    <w:bookmarkEnd w:id="21"/>
    <w:p>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签章：</w:t>
      </w:r>
    </w:p>
    <w:p/>
    <w:p>
      <w:pPr>
        <w:widowControl/>
        <w:jc w:val="left"/>
        <w:rPr>
          <w:rFonts w:asciiTheme="majorEastAsia" w:hAnsiTheme="majorEastAsia" w:eastAsiaTheme="majorEastAsia"/>
          <w:b/>
          <w:sz w:val="32"/>
          <w:lang w:val="en-GB"/>
        </w:rPr>
      </w:pPr>
    </w:p>
    <w:p>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pPr>
        <w:snapToGrid w:val="0"/>
        <w:spacing w:line="460" w:lineRule="exact"/>
        <w:rPr>
          <w:rFonts w:asciiTheme="majorEastAsia" w:hAnsiTheme="majorEastAsia" w:eastAsiaTheme="majorEastAsia"/>
          <w:b/>
          <w:sz w:val="32"/>
          <w:lang w:val="en-GB"/>
        </w:rPr>
      </w:pPr>
      <w:bookmarkStart w:id="22" w:name="OLE_LINK32"/>
      <w:r>
        <w:rPr>
          <w:rFonts w:hint="eastAsia" w:asciiTheme="majorEastAsia" w:hAnsiTheme="majorEastAsia" w:eastAsiaTheme="majorEastAsia"/>
          <w:b/>
          <w:sz w:val="32"/>
          <w:lang w:val="en-GB"/>
        </w:rPr>
        <w:t>附件3</w:t>
      </w:r>
    </w:p>
    <w:bookmarkEnd w:id="22"/>
    <w:p>
      <w:pPr>
        <w:widowControl/>
        <w:spacing w:line="540" w:lineRule="exact"/>
        <w:ind w:firstLine="2772" w:firstLineChars="600"/>
        <w:jc w:val="both"/>
        <w:rPr>
          <w:rFonts w:ascii="方正小标宋简体" w:hAnsi="仿宋_GB2312" w:eastAsia="方正小标宋简体" w:cs="仿宋_GB2312"/>
          <w:b w:val="0"/>
          <w:bCs/>
          <w:spacing w:val="11"/>
          <w:kern w:val="0"/>
          <w:sz w:val="44"/>
          <w:szCs w:val="44"/>
          <w:shd w:val="clear" w:color="auto" w:fill="FFFFFF"/>
        </w:rPr>
      </w:pPr>
      <w:r>
        <w:rPr>
          <w:rFonts w:hint="eastAsia" w:ascii="方正小标宋简体" w:hAnsi="仿宋_GB2312" w:eastAsia="方正小标宋简体" w:cs="仿宋_GB2312"/>
          <w:b w:val="0"/>
          <w:bCs/>
          <w:spacing w:val="11"/>
          <w:kern w:val="0"/>
          <w:sz w:val="44"/>
          <w:szCs w:val="44"/>
          <w:shd w:val="clear" w:color="auto" w:fill="FFFFFF"/>
        </w:rPr>
        <w:t>廉洁诚信协议书</w:t>
      </w:r>
    </w:p>
    <w:p>
      <w:pPr>
        <w:widowControl/>
        <w:spacing w:line="540" w:lineRule="exact"/>
        <w:ind w:firstLine="464" w:firstLineChars="200"/>
        <w:jc w:val="left"/>
        <w:rPr>
          <w:rFonts w:ascii="仿宋_GB2312" w:hAnsi="仿宋_GB2312" w:cs="仿宋_GB2312"/>
          <w:bCs/>
          <w:spacing w:val="11"/>
          <w:kern w:val="0"/>
          <w:szCs w:val="32"/>
        </w:rPr>
      </w:pPr>
    </w:p>
    <w:p>
      <w:pPr>
        <w:widowControl/>
        <w:spacing w:line="540" w:lineRule="exact"/>
        <w:ind w:firstLine="464" w:firstLineChars="200"/>
        <w:jc w:val="left"/>
        <w:rPr>
          <w:rFonts w:hint="eastAsia" w:ascii="仿宋_GB2312" w:hAnsi="仿宋_GB2312" w:eastAsia="仿宋_GB2312" w:cs="仿宋_GB2312"/>
          <w:bCs/>
          <w:spacing w:val="11"/>
          <w:kern w:val="0"/>
          <w:szCs w:val="32"/>
          <w:lang w:eastAsia="zh-CN"/>
        </w:rPr>
      </w:pPr>
      <w:r>
        <w:rPr>
          <w:rFonts w:hint="eastAsia" w:ascii="仿宋_GB2312" w:hAnsi="仿宋_GB2312" w:cs="仿宋_GB2312"/>
          <w:bCs/>
          <w:spacing w:val="11"/>
          <w:kern w:val="0"/>
          <w:szCs w:val="32"/>
        </w:rPr>
        <w:t>甲方：</w:t>
      </w:r>
      <w:r>
        <w:rPr>
          <w:rFonts w:hint="eastAsia" w:ascii="仿宋_GB2312" w:hAnsi="仿宋_GB2312" w:cs="仿宋_GB2312"/>
          <w:bCs/>
          <w:spacing w:val="11"/>
          <w:kern w:val="0"/>
          <w:szCs w:val="32"/>
          <w:lang w:val="en-US" w:eastAsia="zh-CN"/>
        </w:rPr>
        <w:t xml:space="preserve"> </w:t>
      </w:r>
    </w:p>
    <w:p>
      <w:pPr>
        <w:widowControl/>
        <w:spacing w:line="540" w:lineRule="exact"/>
        <w:ind w:firstLine="464" w:firstLineChars="200"/>
        <w:jc w:val="left"/>
        <w:rPr>
          <w:rFonts w:hint="eastAsia" w:ascii="仿宋_GB2312" w:hAnsi="仿宋_GB2312" w:eastAsia="仿宋_GB2312" w:cs="仿宋_GB2312"/>
          <w:bCs/>
          <w:spacing w:val="11"/>
          <w:kern w:val="0"/>
          <w:szCs w:val="32"/>
          <w:lang w:val="en-US" w:eastAsia="zh-CN"/>
        </w:rPr>
      </w:pPr>
      <w:r>
        <w:rPr>
          <w:rFonts w:hint="eastAsia" w:ascii="仿宋_GB2312" w:hAnsi="仿宋_GB2312" w:cs="仿宋_GB2312"/>
          <w:bCs/>
          <w:spacing w:val="11"/>
          <w:kern w:val="0"/>
          <w:szCs w:val="32"/>
          <w:lang w:val="en-US" w:eastAsia="zh-CN"/>
        </w:rPr>
        <w:t>负责人</w:t>
      </w:r>
      <w:r>
        <w:rPr>
          <w:rFonts w:ascii="仿宋_GB2312" w:hAnsi="仿宋_GB2312" w:cs="仿宋_GB2312"/>
          <w:bCs/>
          <w:spacing w:val="11"/>
          <w:kern w:val="0"/>
          <w:szCs w:val="32"/>
        </w:rPr>
        <w:t>：</w:t>
      </w:r>
    </w:p>
    <w:p>
      <w:pPr>
        <w:widowControl/>
        <w:spacing w:line="540" w:lineRule="exact"/>
        <w:ind w:firstLine="464" w:firstLineChars="200"/>
        <w:jc w:val="left"/>
        <w:rPr>
          <w:rFonts w:hint="default" w:ascii="仿宋_GB2312" w:hAnsi="仿宋_GB2312" w:eastAsia="仿宋_GB2312" w:cs="仿宋_GB2312"/>
          <w:bCs/>
          <w:spacing w:val="11"/>
          <w:kern w:val="0"/>
          <w:szCs w:val="32"/>
          <w:lang w:val="en-US" w:eastAsia="zh-CN"/>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乙方：</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法定代表人</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p>
    <w:p>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第一条 行为准则</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1</w:t>
      </w:r>
      <w:r>
        <w:rPr>
          <w:rFonts w:hint="default" w:ascii="Times New Roman" w:hAnsi="Times New Roman" w:cs="Times New Roman"/>
          <w:bCs/>
          <w:spacing w:val="11"/>
          <w:kern w:val="0"/>
          <w:szCs w:val="32"/>
        </w:rPr>
        <w:t>.</w:t>
      </w:r>
      <w:r>
        <w:rPr>
          <w:rFonts w:ascii="Times New Roman" w:hAnsi="Times New Roman" w:cs="Times New Roman"/>
          <w:bCs/>
          <w:spacing w:val="11"/>
          <w:kern w:val="0"/>
          <w:szCs w:val="32"/>
        </w:rPr>
        <w:t>甲乙双方应自觉遵守国家法律法规政策、公司规章制度、合同文件等关于廉洁诚信自律、公平交易、反商业贿赂、反腐败等所有相关规定。</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2</w:t>
      </w:r>
      <w:r>
        <w:rPr>
          <w:rFonts w:hint="default" w:ascii="Times New Roman" w:hAnsi="Times New Roman" w:cs="Times New Roman"/>
          <w:bCs/>
          <w:spacing w:val="11"/>
          <w:kern w:val="0"/>
          <w:szCs w:val="32"/>
        </w:rPr>
        <w:t>.</w:t>
      </w:r>
      <w:r>
        <w:rPr>
          <w:rFonts w:ascii="Times New Roman" w:hAnsi="Times New Roman" w:cs="Times New Roman"/>
          <w:bCs/>
          <w:spacing w:val="11"/>
          <w:kern w:val="0"/>
          <w:szCs w:val="32"/>
        </w:rPr>
        <w:t>甲乙双方应对</w:t>
      </w:r>
      <w:r>
        <w:rPr>
          <w:rFonts w:hint="default" w:ascii="Times New Roman" w:hAnsi="Times New Roman" w:cs="Times New Roman"/>
          <w:bCs/>
          <w:spacing w:val="11"/>
          <w:kern w:val="0"/>
          <w:szCs w:val="32"/>
        </w:rPr>
        <w:t>工作</w:t>
      </w:r>
      <w:r>
        <w:rPr>
          <w:rFonts w:ascii="Times New Roman" w:hAnsi="Times New Roman" w:cs="Times New Roman"/>
          <w:bCs/>
          <w:spacing w:val="11"/>
          <w:kern w:val="0"/>
          <w:szCs w:val="32"/>
        </w:rPr>
        <w:t>人员进行经常性的廉洁诚信教育，使其建立良好的职业操守和从业行为。本协议项下乙方关联</w:t>
      </w:r>
      <w:r>
        <w:rPr>
          <w:rFonts w:hint="default" w:ascii="Times New Roman" w:hAnsi="Times New Roman" w:cs="Times New Roman"/>
          <w:bCs/>
          <w:spacing w:val="11"/>
          <w:kern w:val="0"/>
          <w:szCs w:val="32"/>
        </w:rPr>
        <w:t>公司等</w:t>
      </w:r>
      <w:r>
        <w:rPr>
          <w:rFonts w:ascii="Times New Roman" w:hAnsi="Times New Roman" w:cs="Times New Roman"/>
          <w:bCs/>
          <w:spacing w:val="11"/>
          <w:kern w:val="0"/>
          <w:szCs w:val="32"/>
        </w:rPr>
        <w:t>基于履行甲乙双方合同而为</w:t>
      </w:r>
      <w:r>
        <w:rPr>
          <w:rFonts w:hint="default" w:ascii="Times New Roman" w:hAnsi="Times New Roman" w:cs="Times New Roman"/>
          <w:bCs/>
          <w:spacing w:val="11"/>
          <w:kern w:val="0"/>
          <w:szCs w:val="32"/>
        </w:rPr>
        <w:t>乙方</w:t>
      </w:r>
      <w:r>
        <w:rPr>
          <w:rFonts w:ascii="Times New Roman" w:hAnsi="Times New Roman" w:cs="Times New Roman"/>
          <w:bCs/>
          <w:spacing w:val="11"/>
          <w:kern w:val="0"/>
          <w:szCs w:val="32"/>
        </w:rPr>
        <w:t>服务的第三方及上述主体的员工、</w:t>
      </w:r>
      <w:r>
        <w:rPr>
          <w:rFonts w:hint="default" w:ascii="Times New Roman" w:hAnsi="Times New Roman" w:cs="Times New Roman"/>
          <w:bCs/>
          <w:spacing w:val="11"/>
          <w:kern w:val="0"/>
          <w:szCs w:val="32"/>
        </w:rPr>
        <w:t>代理</w:t>
      </w:r>
      <w:r>
        <w:rPr>
          <w:rFonts w:ascii="Times New Roman" w:hAnsi="Times New Roman" w:cs="Times New Roman"/>
          <w:bCs/>
          <w:spacing w:val="11"/>
          <w:kern w:val="0"/>
          <w:szCs w:val="32"/>
        </w:rPr>
        <w:t>人实施违反廉洁诚信行为的，均视同乙方自身之行为。</w:t>
      </w:r>
    </w:p>
    <w:p>
      <w:pPr>
        <w:widowControl/>
        <w:spacing w:line="540" w:lineRule="exact"/>
        <w:ind w:firstLine="464" w:firstLineChars="200"/>
        <w:jc w:val="left"/>
        <w:rPr>
          <w:rFonts w:ascii="仿宋_GB2312" w:hAnsi="仿宋_GB2312" w:cs="仿宋_GB2312"/>
          <w:bCs/>
          <w:spacing w:val="11"/>
          <w:kern w:val="0"/>
          <w:szCs w:val="32"/>
        </w:rPr>
      </w:pPr>
      <w:r>
        <w:rPr>
          <w:rFonts w:ascii="Times New Roman" w:hAnsi="Times New Roman" w:cs="Times New Roman"/>
          <w:bCs/>
          <w:spacing w:val="11"/>
          <w:kern w:val="0"/>
          <w:szCs w:val="32"/>
        </w:rPr>
        <w:t>3</w:t>
      </w:r>
      <w:r>
        <w:rPr>
          <w:rFonts w:hint="default" w:ascii="Times New Roman" w:hAnsi="Times New Roman" w:cs="Times New Roman"/>
          <w:bCs/>
          <w:spacing w:val="11"/>
          <w:kern w:val="0"/>
          <w:szCs w:val="32"/>
        </w:rPr>
        <w:t>.</w:t>
      </w:r>
      <w:r>
        <w:rPr>
          <w:rFonts w:ascii="Times New Roman" w:hAnsi="Times New Roman" w:cs="Times New Roman"/>
          <w:bCs/>
          <w:spacing w:val="11"/>
          <w:kern w:val="0"/>
          <w:szCs w:val="32"/>
        </w:rPr>
        <w:t>甲乙双方合作过程中，发现任何一方</w:t>
      </w:r>
      <w:r>
        <w:rPr>
          <w:rFonts w:hint="default" w:ascii="Times New Roman" w:hAnsi="Times New Roman" w:cs="Times New Roman"/>
          <w:bCs/>
          <w:spacing w:val="11"/>
          <w:kern w:val="0"/>
          <w:szCs w:val="32"/>
        </w:rPr>
        <w:t>存在</w:t>
      </w:r>
      <w:r>
        <w:rPr>
          <w:rFonts w:ascii="Times New Roman" w:hAnsi="Times New Roman" w:cs="Times New Roman"/>
          <w:bCs/>
          <w:spacing w:val="11"/>
          <w:kern w:val="0"/>
          <w:szCs w:val="32"/>
        </w:rPr>
        <w:t>违反廉洁诚信之行</w:t>
      </w:r>
      <w:r>
        <w:rPr>
          <w:rFonts w:ascii="仿宋_GB2312" w:hAnsi="仿宋_GB2312" w:cs="仿宋_GB2312"/>
          <w:bCs/>
          <w:spacing w:val="11"/>
          <w:kern w:val="0"/>
          <w:szCs w:val="32"/>
        </w:rPr>
        <w:t>为的，另一方应及时向对方公司举报，否则视为违约。</w:t>
      </w:r>
    </w:p>
    <w:p>
      <w:pPr>
        <w:spacing w:line="540" w:lineRule="exact"/>
        <w:ind w:firstLine="466" w:firstLineChars="200"/>
        <w:rPr>
          <w:rFonts w:ascii="仿宋_GB2312" w:hAnsi="仿宋_GB2312" w:cs="仿宋_GB2312"/>
          <w:b/>
          <w:spacing w:val="0"/>
          <w:szCs w:val="32"/>
        </w:rPr>
      </w:pPr>
      <w:r>
        <w:rPr>
          <w:rFonts w:hint="eastAsia" w:ascii="仿宋_GB2312" w:hAnsi="仿宋_GB2312" w:cs="仿宋_GB2312"/>
          <w:b/>
          <w:spacing w:val="11"/>
          <w:szCs w:val="32"/>
        </w:rPr>
        <w:t xml:space="preserve">第二条 </w:t>
      </w:r>
      <w:r>
        <w:rPr>
          <w:rFonts w:hint="eastAsia" w:ascii="仿宋_GB2312" w:hAnsi="仿宋_GB2312" w:cs="仿宋_GB2312"/>
          <w:b/>
          <w:spacing w:val="0"/>
          <w:szCs w:val="32"/>
        </w:rPr>
        <w:t>诚信</w:t>
      </w:r>
    </w:p>
    <w:p>
      <w:pPr>
        <w:spacing w:line="540" w:lineRule="exact"/>
        <w:ind w:firstLine="420" w:firstLineChars="200"/>
        <w:rPr>
          <w:rFonts w:ascii="仿宋_GB2312" w:hAnsi="仿宋_GB2312" w:cs="仿宋_GB2312"/>
          <w:spacing w:val="0"/>
          <w:szCs w:val="32"/>
        </w:rPr>
      </w:pPr>
      <w:r>
        <w:rPr>
          <w:rFonts w:hint="eastAsia" w:ascii="仿宋_GB2312" w:hAnsi="仿宋_GB2312" w:cs="仿宋_GB2312"/>
          <w:spacing w:val="0"/>
          <w:szCs w:val="32"/>
        </w:rPr>
        <w:t>诚信是双方合作的基础，乙方坚持诚信原则，承诺不从事欺瞒甚至欺诈的不诚实行为，包括但不限于：</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1.若乙方为供应商、服务提供方（如建设施工单位等）的，不得与其他主体共谋定价</w:t>
      </w:r>
      <w:r>
        <w:rPr>
          <w:rFonts w:ascii="Times New Roman" w:hAnsi="Times New Roman" w:cs="Times New Roman"/>
          <w:spacing w:val="0"/>
          <w:szCs w:val="32"/>
        </w:rPr>
        <w:t>、</w:t>
      </w:r>
      <w:r>
        <w:rPr>
          <w:rFonts w:hint="default" w:ascii="Times New Roman" w:hAnsi="Times New Roman" w:cs="Times New Roman"/>
          <w:spacing w:val="0"/>
          <w:szCs w:val="32"/>
        </w:rPr>
        <w:t>抬高或压低报价、串标；</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2.向甲方提供的文件、资料、数据、陈述（含口头陈述）等信息内容应保证真实、准确，不得提供虚假信息或隐瞒重要信息；</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3.严格遵守向甲方做出的承诺，与甲方签署的合同、协议和备忘录等，按时、保质、保量提供产品或服务。</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4. 按照甲方要求，主动申报乙方股东、实际控制人及高级管理人员与甲方员工（包括但不限于甲方或甲方关联公司的员工、受雇方、顾问等）是否存在关联关系；</w:t>
      </w:r>
    </w:p>
    <w:p>
      <w:pPr>
        <w:spacing w:line="540" w:lineRule="exact"/>
        <w:ind w:firstLine="420" w:firstLineChars="200"/>
        <w:rPr>
          <w:rFonts w:ascii="仿宋_GB2312" w:hAnsi="仿宋_GB2312" w:cs="仿宋_GB2312"/>
          <w:spacing w:val="0"/>
          <w:szCs w:val="32"/>
        </w:rPr>
      </w:pPr>
      <w:r>
        <w:rPr>
          <w:rFonts w:hint="default" w:ascii="Times New Roman" w:hAnsi="Times New Roman" w:cs="Times New Roman"/>
          <w:spacing w:val="0"/>
          <w:szCs w:val="32"/>
        </w:rPr>
        <w:t>5.不得以任何方式收集与履约事项无关的信息与数据；不得对外提供</w:t>
      </w:r>
      <w:r>
        <w:rPr>
          <w:rFonts w:hint="eastAsia" w:ascii="仿宋_GB2312" w:hAnsi="仿宋_GB2312" w:cs="仿宋_GB2312"/>
          <w:spacing w:val="0"/>
          <w:szCs w:val="32"/>
        </w:rPr>
        <w:t>与甲方合作或开展业务而获取的信息与数据，或者在未得到甲方授权的情况下对上述信息与数据另行使用及加工处理。</w:t>
      </w:r>
    </w:p>
    <w:p>
      <w:pPr>
        <w:spacing w:line="540" w:lineRule="exact"/>
        <w:ind w:firstLine="466" w:firstLineChars="200"/>
        <w:rPr>
          <w:rFonts w:ascii="仿宋_GB2312" w:hAnsi="仿宋_GB2312" w:cs="仿宋_GB2312"/>
          <w:spacing w:val="0"/>
          <w:szCs w:val="32"/>
        </w:rPr>
      </w:pPr>
      <w:r>
        <w:rPr>
          <w:rFonts w:hint="eastAsia" w:ascii="仿宋_GB2312" w:hAnsi="仿宋_GB2312" w:cs="仿宋_GB2312"/>
          <w:b/>
          <w:spacing w:val="11"/>
          <w:szCs w:val="32"/>
        </w:rPr>
        <w:t xml:space="preserve">第三条 </w:t>
      </w:r>
      <w:r>
        <w:rPr>
          <w:rFonts w:hint="eastAsia" w:ascii="仿宋_GB2312" w:hAnsi="仿宋_GB2312" w:cs="仿宋_GB2312"/>
          <w:b/>
          <w:spacing w:val="0"/>
          <w:szCs w:val="32"/>
        </w:rPr>
        <w:t>反不正当利益</w:t>
      </w:r>
    </w:p>
    <w:p>
      <w:pPr>
        <w:spacing w:line="540" w:lineRule="exact"/>
        <w:ind w:firstLine="420" w:firstLineChars="200"/>
        <w:rPr>
          <w:rFonts w:ascii="Times New Roman" w:hAnsi="Times New Roman" w:cs="Times New Roman"/>
          <w:spacing w:val="0"/>
          <w:szCs w:val="32"/>
        </w:rPr>
      </w:pPr>
      <w:r>
        <w:rPr>
          <w:rFonts w:hint="eastAsia" w:ascii="仿宋_GB2312" w:hAnsi="仿宋_GB2312" w:cs="仿宋_GB2312"/>
          <w:spacing w:val="0"/>
          <w:szCs w:val="32"/>
        </w:rPr>
        <w:t>为保障公平竞争，乙方承诺不为促成合同的签订、履行，或获得比任何第三方更高的利益、更优厚的待遇以及其他任何形式的交易机会或竞争优势等，而直接或间接向甲方员工或关</w:t>
      </w:r>
      <w:r>
        <w:rPr>
          <w:rFonts w:hint="default" w:ascii="Times New Roman" w:hAnsi="Times New Roman" w:cs="Times New Roman"/>
          <w:spacing w:val="0"/>
          <w:szCs w:val="32"/>
        </w:rPr>
        <w:t>联人提供任何形式的不正当利益，包括但不限于：</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1.以任何形式向甲方员工或其</w:t>
      </w:r>
      <w:r>
        <w:rPr>
          <w:rFonts w:hint="default" w:ascii="Times New Roman" w:hAnsi="Times New Roman" w:cs="Times New Roman"/>
          <w:bCs/>
          <w:spacing w:val="11"/>
          <w:kern w:val="0"/>
          <w:szCs w:val="32"/>
        </w:rPr>
        <w:t>关联人</w:t>
      </w:r>
      <w:r>
        <w:rPr>
          <w:rFonts w:ascii="Times New Roman" w:hAnsi="Times New Roman" w:cs="Times New Roman"/>
          <w:bCs/>
          <w:spacing w:val="11"/>
          <w:kern w:val="0"/>
          <w:szCs w:val="32"/>
        </w:rPr>
        <w:t>提供任何回扣、礼品、礼金、微信（支付宝）红包、微信（支付宝、银行）转账汇款、购物卡券、银行卡、充值卡、有价证券、感谢费、促销费、宣传费、赞助费、劳务费、咨询费等现金或实物；</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2.以任何形式组织甲方员工或其</w:t>
      </w:r>
      <w:r>
        <w:rPr>
          <w:rFonts w:hint="default" w:ascii="Times New Roman" w:hAnsi="Times New Roman" w:cs="Times New Roman"/>
          <w:bCs/>
          <w:spacing w:val="11"/>
          <w:kern w:val="0"/>
          <w:szCs w:val="32"/>
        </w:rPr>
        <w:t>关联人</w:t>
      </w:r>
      <w:r>
        <w:rPr>
          <w:rFonts w:ascii="Times New Roman" w:hAnsi="Times New Roman" w:cs="Times New Roman"/>
          <w:bCs/>
          <w:spacing w:val="11"/>
          <w:kern w:val="0"/>
          <w:szCs w:val="32"/>
        </w:rPr>
        <w:t>参加宴请(经甲方事先同意的商业性会议除外)、娱乐、健身、培训、旅游或以旅游为目的在风景区举行的活动等；</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3.以任何形式为甲方员工或其</w:t>
      </w:r>
      <w:r>
        <w:rPr>
          <w:rFonts w:hint="default" w:ascii="Times New Roman" w:hAnsi="Times New Roman" w:cs="Times New Roman"/>
          <w:bCs/>
          <w:spacing w:val="11"/>
          <w:kern w:val="0"/>
          <w:szCs w:val="32"/>
        </w:rPr>
        <w:t>关联人</w:t>
      </w:r>
      <w:r>
        <w:rPr>
          <w:rFonts w:ascii="Times New Roman" w:hAnsi="Times New Roman" w:cs="Times New Roman"/>
          <w:bCs/>
          <w:spacing w:val="11"/>
          <w:kern w:val="0"/>
          <w:szCs w:val="32"/>
        </w:rPr>
        <w:t>提供装修住房、手机等通讯工具、车辆等交通工具、办公用品、安排工作或出国、旅游、借款、借物、充话费、报销个人费用、赠与（出售）干股等变相给付财物之利益；</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4.提供工</w:t>
      </w:r>
      <w:r>
        <w:rPr>
          <w:rFonts w:ascii="仿宋_GB2312" w:hAnsi="仿宋_GB2312" w:cs="仿宋_GB2312"/>
          <w:bCs/>
          <w:spacing w:val="11"/>
          <w:kern w:val="0"/>
          <w:szCs w:val="32"/>
        </w:rPr>
        <w:t>作机会，包括但不限于建立劳动关系、劳务派遣、外包服务、兼职、咨询顾问等其他形式，向甲方员工及</w:t>
      </w:r>
      <w:r>
        <w:rPr>
          <w:rFonts w:ascii="Times New Roman" w:hAnsi="Times New Roman" w:cs="Times New Roman"/>
          <w:bCs/>
          <w:spacing w:val="11"/>
          <w:kern w:val="0"/>
          <w:szCs w:val="32"/>
        </w:rPr>
        <w:t xml:space="preserve">其关联人支付任何形式的报酬； </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5.利用第三方直接或变相贿赂甲方员工或其关联人；</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6.提供特殊的重要帮助，包括但不限于员工的子女上学机会名额、家庭户口或居住权、家人社保缴纳、购房机会等；</w:t>
      </w:r>
    </w:p>
    <w:p>
      <w:pPr>
        <w:widowControl/>
        <w:spacing w:line="540" w:lineRule="exact"/>
        <w:ind w:firstLine="464" w:firstLineChars="200"/>
        <w:jc w:val="left"/>
        <w:rPr>
          <w:rFonts w:ascii="Times New Roman" w:hAnsi="Times New Roman" w:cs="Times New Roman"/>
          <w:spacing w:val="11"/>
          <w:kern w:val="0"/>
          <w:szCs w:val="32"/>
        </w:rPr>
      </w:pPr>
      <w:r>
        <w:rPr>
          <w:rFonts w:ascii="Times New Roman" w:hAnsi="Times New Roman" w:cs="Times New Roman"/>
          <w:spacing w:val="11"/>
          <w:kern w:val="0"/>
          <w:szCs w:val="32"/>
        </w:rPr>
        <w:t>7.</w:t>
      </w:r>
      <w:r>
        <w:rPr>
          <w:rFonts w:hint="default" w:ascii="Times New Roman" w:hAnsi="Times New Roman" w:cs="Times New Roman"/>
          <w:spacing w:val="11"/>
          <w:kern w:val="0"/>
          <w:szCs w:val="32"/>
        </w:rPr>
        <w:t>若乙方向甲方支付款项的，必须按照甲乙双方签订的合同约定的方式支付至甲方书面指定的公司账户，不得以现金方式或其他任何方式支付给甲方</w:t>
      </w:r>
      <w:r>
        <w:rPr>
          <w:rFonts w:ascii="Times New Roman" w:hAnsi="Times New Roman" w:cs="Times New Roman"/>
          <w:spacing w:val="11"/>
          <w:kern w:val="0"/>
          <w:szCs w:val="32"/>
        </w:rPr>
        <w:t>员工</w:t>
      </w:r>
      <w:r>
        <w:rPr>
          <w:rFonts w:hint="default" w:ascii="Times New Roman" w:hAnsi="Times New Roman" w:cs="Times New Roman"/>
          <w:spacing w:val="11"/>
          <w:kern w:val="0"/>
          <w:szCs w:val="32"/>
        </w:rPr>
        <w:t>或其指定的任何账户</w:t>
      </w:r>
      <w:r>
        <w:rPr>
          <w:rFonts w:ascii="Times New Roman" w:hAnsi="Times New Roman" w:cs="Times New Roman"/>
          <w:spacing w:val="11"/>
          <w:kern w:val="0"/>
          <w:szCs w:val="32"/>
        </w:rPr>
        <w:t>；</w:t>
      </w:r>
    </w:p>
    <w:p>
      <w:pPr>
        <w:widowControl/>
        <w:spacing w:line="540" w:lineRule="exact"/>
        <w:ind w:firstLine="464" w:firstLineChars="200"/>
        <w:jc w:val="left"/>
        <w:rPr>
          <w:rFonts w:ascii="仿宋_GB2312" w:hAnsi="仿宋_GB2312" w:cs="仿宋_GB2312"/>
          <w:bCs/>
          <w:spacing w:val="11"/>
          <w:kern w:val="0"/>
          <w:szCs w:val="32"/>
        </w:rPr>
      </w:pPr>
      <w:r>
        <w:rPr>
          <w:rFonts w:ascii="Times New Roman" w:hAnsi="Times New Roman" w:cs="Times New Roman"/>
          <w:bCs/>
          <w:spacing w:val="11"/>
          <w:kern w:val="0"/>
          <w:szCs w:val="32"/>
        </w:rPr>
        <w:t>8.法律</w:t>
      </w:r>
      <w:r>
        <w:rPr>
          <w:rFonts w:ascii="仿宋_GB2312" w:hAnsi="仿宋_GB2312" w:cs="仿宋_GB2312"/>
          <w:bCs/>
          <w:spacing w:val="11"/>
          <w:kern w:val="0"/>
          <w:szCs w:val="32"/>
        </w:rPr>
        <w:t>法规规定的其他商业贿赂行为。</w:t>
      </w:r>
    </w:p>
    <w:p>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第四条</w:t>
      </w:r>
      <w:r>
        <w:rPr>
          <w:rFonts w:ascii="仿宋_GB2312" w:hAnsi="仿宋_GB2312" w:cs="仿宋_GB2312"/>
          <w:b/>
          <w:spacing w:val="11"/>
          <w:kern w:val="0"/>
          <w:szCs w:val="32"/>
        </w:rPr>
        <w:t xml:space="preserve"> 违约责任</w:t>
      </w:r>
    </w:p>
    <w:p>
      <w:pPr>
        <w:spacing w:line="540" w:lineRule="exact"/>
        <w:ind w:firstLine="420" w:firstLineChars="200"/>
        <w:rPr>
          <w:rFonts w:ascii="Times New Roman" w:hAnsi="Times New Roman" w:cs="Times New Roman"/>
          <w:spacing w:val="0"/>
          <w:szCs w:val="32"/>
        </w:rPr>
      </w:pPr>
      <w:r>
        <w:rPr>
          <w:rFonts w:ascii="Times New Roman" w:hAnsi="Times New Roman" w:cs="Times New Roman"/>
          <w:bCs/>
          <w:spacing w:val="0"/>
          <w:szCs w:val="32"/>
        </w:rPr>
        <w:t>1.乙方或乙方人员出现违反本协议第二条、第三条约定的内容，甲方</w:t>
      </w:r>
      <w:r>
        <w:rPr>
          <w:rFonts w:hint="default" w:ascii="Times New Roman" w:hAnsi="Times New Roman" w:cs="Times New Roman"/>
          <w:spacing w:val="0"/>
          <w:szCs w:val="32"/>
        </w:rPr>
        <w:t>有权解除与乙方之间签署的所有合同且无须承担任何责任，并选择以下一种或多种方式处理乙方的违约行为：</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w:t>
      </w:r>
      <w:r>
        <w:rPr>
          <w:rFonts w:ascii="Times New Roman" w:hAnsi="Times New Roman" w:cs="Times New Roman"/>
          <w:spacing w:val="0"/>
          <w:szCs w:val="32"/>
        </w:rPr>
        <w:t>1）要求乙方赔偿损失；</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w:t>
      </w:r>
      <w:r>
        <w:rPr>
          <w:rFonts w:ascii="Times New Roman" w:hAnsi="Times New Roman" w:cs="Times New Roman"/>
          <w:spacing w:val="0"/>
          <w:szCs w:val="32"/>
        </w:rPr>
        <w:t>2）将乙方及其关联公司、</w:t>
      </w:r>
      <w:r>
        <w:rPr>
          <w:rFonts w:hint="default" w:ascii="Times New Roman" w:hAnsi="Times New Roman" w:cs="Times New Roman"/>
          <w:spacing w:val="0"/>
          <w:szCs w:val="32"/>
        </w:rPr>
        <w:t>法定代表人、实际控制人、</w:t>
      </w:r>
      <w:r>
        <w:rPr>
          <w:rFonts w:ascii="Times New Roman" w:hAnsi="Times New Roman" w:cs="Times New Roman"/>
          <w:spacing w:val="0"/>
          <w:szCs w:val="32"/>
        </w:rPr>
        <w:t>直接责任人</w:t>
      </w:r>
      <w:r>
        <w:rPr>
          <w:rFonts w:hint="default" w:ascii="Times New Roman" w:hAnsi="Times New Roman" w:cs="Times New Roman"/>
          <w:spacing w:val="0"/>
          <w:szCs w:val="32"/>
        </w:rPr>
        <w:t>及其关联人列入甲方或其关联公司合作黑名单，使乙方永久丧失与甲方或其关联公司进行合作的机会；</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w:t>
      </w:r>
      <w:r>
        <w:rPr>
          <w:rFonts w:ascii="Times New Roman" w:hAnsi="Times New Roman" w:cs="Times New Roman"/>
          <w:spacing w:val="0"/>
          <w:szCs w:val="32"/>
        </w:rPr>
        <w:t>3）若乙方人员向甲方人员进行商业贿赂的，要求乙方向甲方支付所涉之利益等值金额的3</w:t>
      </w:r>
      <w:r>
        <w:rPr>
          <w:rFonts w:hint="default" w:ascii="Times New Roman" w:hAnsi="Times New Roman" w:cs="Times New Roman"/>
          <w:spacing w:val="0"/>
          <w:szCs w:val="32"/>
        </w:rPr>
        <w:t>倍以内违约金或支付已产生合作金额</w:t>
      </w:r>
      <w:r>
        <w:rPr>
          <w:rFonts w:ascii="Times New Roman" w:hAnsi="Times New Roman" w:cs="Times New Roman"/>
          <w:spacing w:val="0"/>
          <w:szCs w:val="32"/>
        </w:rPr>
        <w:t>30%</w:t>
      </w:r>
      <w:r>
        <w:rPr>
          <w:rFonts w:hint="default" w:ascii="Times New Roman" w:hAnsi="Times New Roman" w:cs="Times New Roman"/>
          <w:spacing w:val="0"/>
          <w:szCs w:val="32"/>
        </w:rPr>
        <w:t>以内的违约金；</w:t>
      </w:r>
    </w:p>
    <w:p>
      <w:pPr>
        <w:spacing w:line="540" w:lineRule="exact"/>
        <w:ind w:firstLine="420" w:firstLineChars="200"/>
        <w:rPr>
          <w:rFonts w:ascii="Times New Roman" w:hAnsi="Times New Roman" w:cs="Times New Roman"/>
          <w:b/>
          <w:spacing w:val="0"/>
          <w:szCs w:val="32"/>
        </w:rPr>
      </w:pPr>
      <w:r>
        <w:rPr>
          <w:rFonts w:hint="default" w:ascii="Times New Roman" w:hAnsi="Times New Roman" w:cs="Times New Roman"/>
          <w:spacing w:val="0"/>
          <w:szCs w:val="32"/>
        </w:rPr>
        <w:t>（4）向任何第三方披露或向社会公开乙方的违约行为。</w:t>
      </w:r>
    </w:p>
    <w:p>
      <w:pPr>
        <w:spacing w:line="540" w:lineRule="exact"/>
        <w:ind w:firstLine="420" w:firstLineChars="200"/>
        <w:rPr>
          <w:rFonts w:ascii="仿宋_GB2312" w:hAnsi="仿宋_GB2312" w:cs="仿宋_GB2312"/>
          <w:spacing w:val="0"/>
          <w:szCs w:val="32"/>
        </w:rPr>
      </w:pPr>
      <w:r>
        <w:rPr>
          <w:rFonts w:hint="default" w:ascii="Times New Roman" w:hAnsi="Times New Roman" w:cs="Times New Roman"/>
          <w:spacing w:val="0"/>
          <w:szCs w:val="32"/>
        </w:rPr>
        <w:t>2.若乙方人员</w:t>
      </w:r>
      <w:r>
        <w:rPr>
          <w:rFonts w:hint="eastAsia" w:ascii="仿宋_GB2312" w:hAnsi="仿宋_GB2312" w:cs="仿宋_GB2312"/>
          <w:spacing w:val="0"/>
          <w:szCs w:val="32"/>
        </w:rPr>
        <w:t>的行为涉嫌商业贿赂犯罪的，甲方可向公安机关进行报案。</w:t>
      </w:r>
    </w:p>
    <w:p>
      <w:pPr>
        <w:spacing w:line="540" w:lineRule="exact"/>
        <w:ind w:firstLine="422" w:firstLineChars="200"/>
        <w:rPr>
          <w:rFonts w:ascii="仿宋_GB2312" w:hAnsi="仿宋_GB2312" w:cs="仿宋_GB2312"/>
          <w:spacing w:val="0"/>
          <w:szCs w:val="32"/>
        </w:rPr>
      </w:pPr>
      <w:r>
        <w:rPr>
          <w:rFonts w:hint="eastAsia" w:ascii="仿宋_GB2312" w:hAnsi="仿宋_GB2312" w:cs="仿宋_GB2312"/>
          <w:b/>
          <w:spacing w:val="0"/>
          <w:szCs w:val="32"/>
        </w:rPr>
        <w:t>第五条 廉洁诚信问题反馈渠道</w:t>
      </w:r>
    </w:p>
    <w:p>
      <w:pPr>
        <w:spacing w:line="540" w:lineRule="exact"/>
        <w:ind w:firstLine="420" w:firstLineChars="200"/>
        <w:rPr>
          <w:rFonts w:ascii="Times New Roman" w:hAnsi="Times New Roman" w:cs="Times New Roman"/>
          <w:spacing w:val="0"/>
          <w:szCs w:val="32"/>
        </w:rPr>
      </w:pPr>
      <w:r>
        <w:rPr>
          <w:rFonts w:hint="default" w:ascii="Times New Roman" w:hAnsi="Times New Roman" w:cs="Times New Roman"/>
          <w:spacing w:val="0"/>
          <w:szCs w:val="32"/>
        </w:rPr>
        <w:t>1. 为支持甲方的廉洁诚信建设，若甲方员工在日常业务过程中有索贿行为，乙方必须拒绝，并通过本条约定的渠道向甲方</w:t>
      </w:r>
      <w:r>
        <w:rPr>
          <w:rFonts w:hint="default" w:ascii="Times New Roman" w:hAnsi="Times New Roman" w:cs="Times New Roman"/>
          <w:spacing w:val="0"/>
          <w:szCs w:val="32"/>
          <w:shd w:val="clear" w:color="auto" w:fill="FFFFFF"/>
        </w:rPr>
        <w:t>纪检机构</w:t>
      </w:r>
      <w:r>
        <w:rPr>
          <w:rFonts w:hint="default" w:ascii="Times New Roman" w:hAnsi="Times New Roman" w:cs="Times New Roman"/>
          <w:spacing w:val="0"/>
          <w:szCs w:val="32"/>
        </w:rPr>
        <w:t>举报。若乙方对甲方员工的索贿行为不拒绝、不告知甲方，并满足其要求的，则该行为应视同乙方的贿赂行为。</w:t>
      </w:r>
    </w:p>
    <w:p>
      <w:pPr>
        <w:widowControl/>
        <w:shd w:val="clear" w:color="auto" w:fill="FFFFFF"/>
        <w:spacing w:line="540" w:lineRule="exact"/>
        <w:ind w:firstLine="420" w:firstLineChars="200"/>
        <w:rPr>
          <w:rFonts w:ascii="Times New Roman" w:hAnsi="Times New Roman" w:cs="Times New Roman"/>
          <w:spacing w:val="0"/>
          <w:kern w:val="0"/>
          <w:szCs w:val="32"/>
        </w:rPr>
      </w:pPr>
      <w:r>
        <w:rPr>
          <w:rFonts w:hint="default" w:ascii="Times New Roman" w:hAnsi="Times New Roman" w:cs="Times New Roman"/>
          <w:spacing w:val="0"/>
          <w:kern w:val="0"/>
          <w:szCs w:val="32"/>
        </w:rPr>
        <w:t>2. 如乙方发现甲方员工有违反上述约定的行为，应与甲方</w:t>
      </w:r>
      <w:r>
        <w:rPr>
          <w:rFonts w:hint="default" w:ascii="Times New Roman" w:hAnsi="Times New Roman" w:cs="Times New Roman"/>
          <w:spacing w:val="0"/>
          <w:kern w:val="0"/>
          <w:szCs w:val="32"/>
          <w:shd w:val="clear" w:color="auto" w:fill="FFFFFF"/>
        </w:rPr>
        <w:t>纪检部门</w:t>
      </w:r>
      <w:r>
        <w:rPr>
          <w:rFonts w:hint="default" w:ascii="Times New Roman" w:hAnsi="Times New Roman" w:cs="Times New Roman"/>
          <w:spacing w:val="0"/>
          <w:kern w:val="0"/>
          <w:szCs w:val="32"/>
        </w:rPr>
        <w:t>联系，并提供相关证据，甲方承诺对联系信息进行保密。甲方经调查核实，发现乙方存在</w:t>
      </w:r>
      <w:r>
        <w:rPr>
          <w:rFonts w:hint="default" w:ascii="Times New Roman" w:hAnsi="Times New Roman" w:cs="Times New Roman"/>
          <w:spacing w:val="0"/>
          <w:szCs w:val="32"/>
        </w:rPr>
        <w:t>捏造事实、恶意诬陷甲方员工情形的，甲方将保留追究乙方责任的权利。</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举报联系机构及方式：</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浙江省商业集团有限公司纪检监察室、巡查组</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举报电话：</w:t>
      </w:r>
      <w:r>
        <w:rPr>
          <w:rFonts w:ascii="Times New Roman" w:hAnsi="Times New Roman" w:cs="Times New Roman"/>
          <w:spacing w:val="0"/>
          <w:kern w:val="0"/>
          <w:szCs w:val="32"/>
          <w:shd w:val="clear" w:color="auto" w:fill="FFFFFF"/>
        </w:rPr>
        <w:t>0571-</w:t>
      </w:r>
      <w:r>
        <w:rPr>
          <w:rFonts w:hint="default" w:ascii="Times New Roman" w:hAnsi="Times New Roman" w:cs="Times New Roman"/>
          <w:spacing w:val="0"/>
          <w:kern w:val="0"/>
          <w:szCs w:val="32"/>
          <w:shd w:val="clear" w:color="auto" w:fill="FFFFFF"/>
        </w:rPr>
        <w:t>85300860</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举报邮箱：zjsyjt_jjjcb@163.com</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联系地址：浙江省杭州市惠民路</w:t>
      </w:r>
      <w:r>
        <w:rPr>
          <w:rFonts w:ascii="Times New Roman" w:hAnsi="Times New Roman" w:cs="Times New Roman"/>
          <w:spacing w:val="0"/>
          <w:kern w:val="0"/>
          <w:szCs w:val="32"/>
          <w:shd w:val="clear" w:color="auto" w:fill="FFFFFF"/>
        </w:rPr>
        <w:t>56</w:t>
      </w:r>
      <w:r>
        <w:rPr>
          <w:rFonts w:hint="default" w:ascii="Times New Roman" w:hAnsi="Times New Roman" w:cs="Times New Roman"/>
          <w:spacing w:val="0"/>
          <w:kern w:val="0"/>
          <w:szCs w:val="32"/>
          <w:shd w:val="clear" w:color="auto" w:fill="FFFFFF"/>
        </w:rPr>
        <w:t>号2号楼</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邮编：</w:t>
      </w:r>
      <w:r>
        <w:rPr>
          <w:rFonts w:ascii="Times New Roman" w:hAnsi="Times New Roman" w:cs="Times New Roman"/>
          <w:spacing w:val="0"/>
          <w:kern w:val="0"/>
          <w:szCs w:val="32"/>
          <w:shd w:val="clear" w:color="auto" w:fill="FFFFFF"/>
        </w:rPr>
        <w:t>310002</w:t>
      </w:r>
    </w:p>
    <w:p>
      <w:pPr>
        <w:widowControl/>
        <w:spacing w:line="540" w:lineRule="exact"/>
        <w:ind w:firstLine="466" w:firstLineChars="200"/>
        <w:jc w:val="left"/>
        <w:rPr>
          <w:rFonts w:ascii="Times New Roman" w:hAnsi="Times New Roman" w:cs="Times New Roman"/>
          <w:b/>
          <w:spacing w:val="11"/>
          <w:kern w:val="0"/>
          <w:szCs w:val="32"/>
        </w:rPr>
      </w:pPr>
      <w:r>
        <w:rPr>
          <w:rFonts w:hint="default" w:ascii="Times New Roman" w:hAnsi="Times New Roman" w:cs="Times New Roman"/>
          <w:b/>
          <w:spacing w:val="11"/>
          <w:kern w:val="0"/>
          <w:szCs w:val="32"/>
        </w:rPr>
        <w:t xml:space="preserve">第六条 </w:t>
      </w:r>
      <w:r>
        <w:rPr>
          <w:rFonts w:ascii="Times New Roman" w:hAnsi="Times New Roman" w:cs="Times New Roman"/>
          <w:b/>
          <w:spacing w:val="11"/>
          <w:kern w:val="0"/>
          <w:szCs w:val="32"/>
        </w:rPr>
        <w:t>其他事项</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1</w:t>
      </w:r>
      <w:r>
        <w:rPr>
          <w:rFonts w:hint="default" w:ascii="Times New Roman" w:hAnsi="Times New Roman" w:cs="Times New Roman"/>
          <w:bCs/>
          <w:spacing w:val="11"/>
          <w:kern w:val="0"/>
          <w:szCs w:val="32"/>
        </w:rPr>
        <w:t>.</w:t>
      </w:r>
      <w:r>
        <w:rPr>
          <w:rFonts w:ascii="Times New Roman" w:hAnsi="Times New Roman" w:cs="Times New Roman"/>
          <w:bCs/>
          <w:spacing w:val="11"/>
          <w:kern w:val="0"/>
          <w:szCs w:val="32"/>
        </w:rPr>
        <w:t>争议解决</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与本协议有关的任何争议，双方均应先友好协商解决；如协商不成，则任何一方均</w:t>
      </w:r>
      <w:r>
        <w:rPr>
          <w:rFonts w:hint="default" w:ascii="Times New Roman" w:hAnsi="Times New Roman" w:cs="Times New Roman"/>
          <w:bCs/>
          <w:spacing w:val="11"/>
          <w:kern w:val="0"/>
          <w:szCs w:val="32"/>
        </w:rPr>
        <w:t>可</w:t>
      </w:r>
      <w:r>
        <w:rPr>
          <w:rFonts w:ascii="Times New Roman" w:hAnsi="Times New Roman" w:cs="Times New Roman"/>
          <w:bCs/>
          <w:spacing w:val="11"/>
          <w:kern w:val="0"/>
          <w:szCs w:val="32"/>
        </w:rPr>
        <w:t>向</w:t>
      </w:r>
      <w:r>
        <w:rPr>
          <w:rFonts w:hint="default" w:ascii="Times New Roman" w:hAnsi="Times New Roman" w:cs="Times New Roman"/>
          <w:bCs/>
          <w:spacing w:val="11"/>
          <w:kern w:val="0"/>
          <w:szCs w:val="32"/>
        </w:rPr>
        <w:t>甲方所在地</w:t>
      </w:r>
      <w:r>
        <w:rPr>
          <w:rFonts w:ascii="Times New Roman" w:hAnsi="Times New Roman" w:cs="Times New Roman"/>
          <w:bCs/>
          <w:spacing w:val="11"/>
          <w:kern w:val="0"/>
          <w:szCs w:val="32"/>
        </w:rPr>
        <w:t>人民法院提起诉讼。</w:t>
      </w:r>
    </w:p>
    <w:p>
      <w:pPr>
        <w:widowControl/>
        <w:spacing w:line="540" w:lineRule="exact"/>
        <w:ind w:firstLine="464" w:firstLineChars="200"/>
        <w:jc w:val="left"/>
        <w:rPr>
          <w:rFonts w:ascii="Times New Roman" w:hAnsi="Times New Roman" w:cs="Times New Roman"/>
          <w:bCs/>
          <w:spacing w:val="11"/>
          <w:kern w:val="0"/>
          <w:szCs w:val="32"/>
        </w:rPr>
      </w:pPr>
      <w:r>
        <w:rPr>
          <w:rFonts w:hint="default" w:ascii="Times New Roman" w:hAnsi="Times New Roman" w:cs="Times New Roman"/>
          <w:bCs/>
          <w:spacing w:val="11"/>
          <w:kern w:val="0"/>
          <w:szCs w:val="32"/>
        </w:rPr>
        <w:t>2.定义</w:t>
      </w:r>
    </w:p>
    <w:p>
      <w:pPr>
        <w:snapToGrid w:val="0"/>
        <w:spacing w:line="540" w:lineRule="exact"/>
        <w:ind w:firstLine="464" w:firstLineChars="200"/>
        <w:rPr>
          <w:rFonts w:ascii="Times New Roman" w:hAnsi="Times New Roman" w:cs="Times New Roman"/>
          <w:bCs/>
          <w:spacing w:val="11"/>
          <w:szCs w:val="32"/>
        </w:rPr>
      </w:pPr>
      <w:r>
        <w:rPr>
          <w:rFonts w:hint="default" w:ascii="Times New Roman" w:hAnsi="Times New Roman" w:cs="Times New Roman"/>
          <w:bCs/>
          <w:spacing w:val="11"/>
          <w:szCs w:val="32"/>
        </w:rPr>
        <w:t>本协议所反映的关联人，</w:t>
      </w:r>
      <w:r>
        <w:rPr>
          <w:rFonts w:hint="default" w:ascii="Times New Roman" w:hAnsi="Times New Roman" w:cs="Times New Roman"/>
          <w:spacing w:val="0"/>
          <w:szCs w:val="32"/>
        </w:rPr>
        <w:t>包括但不限于三代以内的直系或旁系血亲及姻亲，例如：</w:t>
      </w:r>
      <w:r>
        <w:rPr>
          <w:rFonts w:ascii="Times New Roman" w:hAnsi="Times New Roman" w:cs="Times New Roman"/>
          <w:spacing w:val="0"/>
          <w:szCs w:val="32"/>
        </w:rPr>
        <w:t xml:space="preserve">(a) </w:t>
      </w:r>
      <w:r>
        <w:rPr>
          <w:rFonts w:hint="default" w:ascii="Times New Roman" w:hAnsi="Times New Roman" w:cs="Times New Roman"/>
          <w:spacing w:val="0"/>
          <w:szCs w:val="32"/>
        </w:rPr>
        <w:t>配偶、前夫、前妻、父母、继父母、子女、继子女、兄弟、姐妹、继兄弟、继姐妹；</w:t>
      </w:r>
      <w:r>
        <w:rPr>
          <w:rFonts w:ascii="Times New Roman" w:hAnsi="Times New Roman" w:cs="Times New Roman"/>
          <w:spacing w:val="0"/>
          <w:szCs w:val="32"/>
        </w:rPr>
        <w:t xml:space="preserve">(b) </w:t>
      </w:r>
      <w:r>
        <w:rPr>
          <w:rFonts w:hint="default" w:ascii="Times New Roman" w:hAnsi="Times New Roman" w:cs="Times New Roman"/>
          <w:spacing w:val="0"/>
          <w:szCs w:val="32"/>
        </w:rPr>
        <w:t>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3</w:t>
      </w:r>
      <w:r>
        <w:rPr>
          <w:rFonts w:hint="default" w:ascii="Times New Roman" w:hAnsi="Times New Roman" w:cs="Times New Roman"/>
          <w:bCs/>
          <w:spacing w:val="11"/>
          <w:kern w:val="0"/>
          <w:szCs w:val="32"/>
        </w:rPr>
        <w:t>.</w:t>
      </w:r>
      <w:r>
        <w:rPr>
          <w:rFonts w:ascii="Times New Roman" w:hAnsi="Times New Roman" w:cs="Times New Roman"/>
          <w:bCs/>
          <w:spacing w:val="11"/>
          <w:kern w:val="0"/>
          <w:szCs w:val="32"/>
        </w:rPr>
        <w:t>生效</w:t>
      </w:r>
    </w:p>
    <w:p>
      <w:pPr>
        <w:widowControl/>
        <w:spacing w:line="540" w:lineRule="exact"/>
        <w:ind w:firstLine="464" w:firstLineChars="200"/>
        <w:jc w:val="left"/>
        <w:rPr>
          <w:rFonts w:ascii="Times New Roman" w:hAnsi="Times New Roman" w:cs="Times New Roman"/>
          <w:bCs/>
          <w:spacing w:val="11"/>
          <w:kern w:val="0"/>
          <w:szCs w:val="32"/>
        </w:rPr>
      </w:pPr>
      <w:r>
        <w:rPr>
          <w:rFonts w:ascii="Times New Roman" w:hAnsi="Times New Roman" w:cs="Times New Roman"/>
          <w:bCs/>
          <w:spacing w:val="11"/>
          <w:kern w:val="0"/>
          <w:szCs w:val="32"/>
        </w:rPr>
        <w:t>本协议自甲乙双方共同签章之日起生效；本协议对本协议签署后及签署前乙方未主动告知的贿赂行为具有约束力；本协议对乙方的承继方持续有效。</w:t>
      </w:r>
    </w:p>
    <w:p>
      <w:pPr>
        <w:widowControl/>
        <w:spacing w:line="540" w:lineRule="exact"/>
        <w:ind w:firstLine="466" w:firstLineChars="200"/>
        <w:jc w:val="left"/>
        <w:rPr>
          <w:rFonts w:hint="default" w:ascii="Times New Roman" w:hAnsi="Times New Roman" w:cs="Times New Roman"/>
          <w:b/>
          <w:spacing w:val="11"/>
          <w:kern w:val="0"/>
          <w:szCs w:val="32"/>
        </w:rPr>
      </w:pPr>
    </w:p>
    <w:p>
      <w:pPr>
        <w:widowControl/>
        <w:spacing w:line="540" w:lineRule="exact"/>
        <w:ind w:firstLine="466" w:firstLineChars="200"/>
        <w:jc w:val="left"/>
        <w:rPr>
          <w:rFonts w:hint="default" w:ascii="Times New Roman" w:hAnsi="Times New Roman" w:cs="Times New Roman"/>
          <w:b/>
          <w:spacing w:val="11"/>
          <w:kern w:val="0"/>
          <w:szCs w:val="32"/>
        </w:rPr>
      </w:pPr>
    </w:p>
    <w:p>
      <w:pPr>
        <w:widowControl/>
        <w:spacing w:line="540" w:lineRule="exact"/>
        <w:ind w:firstLine="466" w:firstLineChars="200"/>
        <w:jc w:val="left"/>
        <w:rPr>
          <w:rFonts w:ascii="Times New Roman" w:hAnsi="Times New Roman" w:cs="Times New Roman"/>
          <w:b/>
          <w:spacing w:val="11"/>
          <w:kern w:val="0"/>
          <w:szCs w:val="32"/>
        </w:rPr>
      </w:pPr>
      <w:bookmarkStart w:id="25" w:name="_GoBack"/>
      <w:bookmarkEnd w:id="25"/>
      <w:r>
        <w:rPr>
          <w:rFonts w:hint="default" w:ascii="Times New Roman" w:hAnsi="Times New Roman" w:cs="Times New Roman"/>
          <w:b/>
          <w:spacing w:val="11"/>
          <w:kern w:val="0"/>
          <w:szCs w:val="32"/>
        </w:rPr>
        <w:t>声明：双方已对本协议内容作全面、准确理解，对本协议的全部内容及相关法律后果已充分知悉、理解，无任何异议。</w:t>
      </w:r>
    </w:p>
    <w:p>
      <w:pPr>
        <w:widowControl/>
        <w:spacing w:line="540" w:lineRule="exact"/>
        <w:ind w:firstLine="464" w:firstLineChars="200"/>
        <w:jc w:val="left"/>
        <w:rPr>
          <w:rFonts w:ascii="Times New Roman" w:hAnsi="Times New Roman" w:cs="Times New Roman"/>
          <w:bCs/>
          <w:spacing w:val="11"/>
          <w:kern w:val="0"/>
          <w:szCs w:val="32"/>
        </w:rPr>
      </w:pPr>
    </w:p>
    <w:p>
      <w:pPr>
        <w:widowControl/>
        <w:spacing w:line="540" w:lineRule="exact"/>
        <w:ind w:firstLine="420" w:firstLineChars="200"/>
        <w:rPr>
          <w:rFonts w:ascii="Times New Roman" w:hAnsi="Times New Roman" w:cs="Times New Roman"/>
          <w:spacing w:val="0"/>
          <w:kern w:val="0"/>
          <w:szCs w:val="32"/>
          <w:shd w:val="clear" w:color="auto" w:fill="FFFFFF"/>
        </w:rPr>
      </w:pP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甲方（盖章）</w:t>
      </w:r>
      <w:r>
        <w:rPr>
          <w:rFonts w:ascii="Times New Roman" w:hAnsi="Times New Roman" w:cs="Times New Roman"/>
          <w:spacing w:val="0"/>
          <w:kern w:val="0"/>
          <w:szCs w:val="32"/>
          <w:shd w:val="clear" w:color="auto" w:fill="FFFFFF"/>
        </w:rPr>
        <w:t>：</w:t>
      </w:r>
    </w:p>
    <w:p>
      <w:pPr>
        <w:widowControl/>
        <w:spacing w:line="540" w:lineRule="exact"/>
        <w:ind w:firstLine="420" w:firstLineChars="200"/>
        <w:rPr>
          <w:rFonts w:ascii="Times New Roman" w:hAnsi="Times New Roman" w:cs="Times New Roman"/>
          <w:spacing w:val="0"/>
          <w:kern w:val="0"/>
          <w:szCs w:val="32"/>
          <w:shd w:val="clear" w:color="auto" w:fill="FFFFFF"/>
        </w:rPr>
      </w:pPr>
      <w:r>
        <w:rPr>
          <w:rFonts w:hint="default" w:ascii="Times New Roman" w:hAnsi="Times New Roman" w:cs="Times New Roman"/>
          <w:spacing w:val="0"/>
          <w:kern w:val="0"/>
          <w:szCs w:val="32"/>
          <w:shd w:val="clear" w:color="auto" w:fill="FFFFFF"/>
        </w:rPr>
        <w:t>签署日期：</w:t>
      </w:r>
    </w:p>
    <w:p>
      <w:pPr>
        <w:widowControl/>
        <w:spacing w:line="540" w:lineRule="exact"/>
        <w:ind w:firstLine="420" w:firstLineChars="200"/>
        <w:rPr>
          <w:rFonts w:ascii="Times New Roman" w:hAnsi="Times New Roman" w:cs="Times New Roman"/>
          <w:spacing w:val="0"/>
          <w:kern w:val="0"/>
          <w:szCs w:val="32"/>
          <w:shd w:val="clear" w:color="auto" w:fill="FFFFFF"/>
        </w:rPr>
      </w:pPr>
    </w:p>
    <w:p>
      <w:pPr>
        <w:widowControl/>
        <w:spacing w:line="540" w:lineRule="exact"/>
        <w:ind w:firstLine="420" w:firstLineChars="200"/>
        <w:rPr>
          <w:rFonts w:ascii="Times New Roman" w:hAnsi="Times New Roman" w:cs="Times New Roman"/>
          <w:spacing w:val="0"/>
          <w:kern w:val="0"/>
          <w:szCs w:val="32"/>
          <w:shd w:val="clear" w:color="auto" w:fill="FFFFFF"/>
        </w:rPr>
      </w:pPr>
    </w:p>
    <w:p>
      <w:pPr>
        <w:widowControl/>
        <w:spacing w:line="540" w:lineRule="exact"/>
        <w:ind w:firstLine="420" w:firstLineChars="200"/>
        <w:rPr>
          <w:rFonts w:ascii="Times New Roman" w:hAnsi="Times New Roman" w:cs="Times New Roman"/>
          <w:spacing w:val="0"/>
          <w:kern w:val="0"/>
          <w:szCs w:val="32"/>
        </w:rPr>
      </w:pPr>
      <w:r>
        <w:rPr>
          <w:rFonts w:hint="default" w:ascii="Times New Roman" w:hAnsi="Times New Roman" w:cs="Times New Roman"/>
          <w:spacing w:val="0"/>
          <w:kern w:val="0"/>
          <w:szCs w:val="32"/>
          <w:shd w:val="clear" w:color="auto" w:fill="FFFFFF"/>
        </w:rPr>
        <w:t>乙方（盖章）</w:t>
      </w:r>
      <w:r>
        <w:rPr>
          <w:rFonts w:ascii="Times New Roman" w:hAnsi="Times New Roman" w:cs="Times New Roman"/>
          <w:spacing w:val="0"/>
          <w:kern w:val="0"/>
          <w:szCs w:val="32"/>
          <w:shd w:val="clear" w:color="auto" w:fill="FFFFFF"/>
        </w:rPr>
        <w:t>：</w:t>
      </w:r>
    </w:p>
    <w:p>
      <w:pPr>
        <w:widowControl/>
        <w:spacing w:line="540" w:lineRule="exact"/>
        <w:ind w:firstLine="420" w:firstLineChars="200"/>
        <w:rPr>
          <w:rFonts w:ascii="Times New Roman" w:hAnsi="Times New Roman" w:cs="Times New Roman"/>
          <w:spacing w:val="0"/>
          <w:kern w:val="0"/>
          <w:szCs w:val="32"/>
        </w:rPr>
      </w:pPr>
      <w:r>
        <w:rPr>
          <w:rFonts w:hint="default" w:ascii="Times New Roman" w:hAnsi="Times New Roman" w:cs="Times New Roman"/>
          <w:spacing w:val="0"/>
          <w:kern w:val="0"/>
          <w:szCs w:val="32"/>
          <w:shd w:val="clear" w:color="auto" w:fill="FFFFFF"/>
        </w:rPr>
        <w:t>签署日期：</w:t>
      </w: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Pr>
        <w:spacing w:line="596" w:lineRule="exact"/>
        <w:textAlignment w:val="top"/>
        <w:rPr>
          <w:rFonts w:ascii="Times New Roman" w:hAnsi="Times New Roman" w:cs="Times New Roman"/>
          <w:szCs w:val="32"/>
        </w:rPr>
      </w:pPr>
    </w:p>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pPr>
        <w:snapToGrid w:val="0"/>
        <w:spacing w:line="360" w:lineRule="auto"/>
        <w:ind w:firstLine="480" w:firstLineChars="200"/>
        <w:rPr>
          <w:rFonts w:hint="eastAsia" w:ascii="仿宋" w:hAnsi="仿宋" w:eastAsia="仿宋"/>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pPr>
        <w:snapToGrid w:val="0"/>
        <w:spacing w:line="360" w:lineRule="auto"/>
        <w:ind w:firstLine="480" w:firstLineChars="200"/>
        <w:rPr>
          <w:rFonts w:hint="eastAsia" w:ascii="仿宋" w:hAnsi="仿宋" w:eastAsia="仿宋"/>
          <w:sz w:val="24"/>
        </w:rPr>
      </w:pPr>
    </w:p>
    <w:p>
      <w:pPr>
        <w:snapToGrid w:val="0"/>
        <w:spacing w:line="460" w:lineRule="exact"/>
        <w:jc w:val="right"/>
        <w:rPr>
          <w:rFonts w:hint="eastAsia" w:cs="黑体" w:asciiTheme="majorEastAsia" w:hAnsiTheme="majorEastAsia" w:eastAsiaTheme="majorEastAsia"/>
          <w:b/>
          <w:sz w:val="28"/>
          <w:szCs w:val="28"/>
        </w:rPr>
      </w:pPr>
      <w:bookmarkStart w:id="23" w:name="OLE_LINK16"/>
      <w:r>
        <w:rPr>
          <w:rFonts w:hint="eastAsia" w:cs="黑体" w:asciiTheme="majorEastAsia" w:hAnsiTheme="majorEastAsia" w:eastAsiaTheme="majorEastAsia"/>
          <w:b/>
          <w:sz w:val="28"/>
          <w:szCs w:val="28"/>
          <w:lang w:val="en-US" w:eastAsia="zh-CN"/>
        </w:rPr>
        <w:t xml:space="preserve">【公司名称】   </w:t>
      </w:r>
      <w:r>
        <w:rPr>
          <w:rFonts w:hint="eastAsia" w:cs="黑体" w:asciiTheme="majorEastAsia" w:hAnsiTheme="majorEastAsia" w:eastAsiaTheme="majorEastAsia"/>
          <w:b/>
          <w:sz w:val="28"/>
          <w:szCs w:val="28"/>
        </w:rPr>
        <w:t xml:space="preserve"> </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年   月   日</w:t>
      </w:r>
    </w:p>
    <w:bookmarkEnd w:id="15"/>
    <w:bookmarkEnd w:id="23"/>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24" w:name="_Hlk101977101"/>
      <w:r>
        <w:rPr>
          <w:rFonts w:hint="eastAsia" w:asciiTheme="majorEastAsia" w:hAnsiTheme="majorEastAsia" w:eastAsiaTheme="majorEastAsia"/>
          <w:b/>
          <w:sz w:val="32"/>
          <w:lang w:val="en-GB"/>
        </w:rPr>
        <w:t>附件5</w:t>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pPr>
        <w:snapToGrid w:val="0"/>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pPr>
        <w:rPr>
          <w:lang w:val="en-GB"/>
        </w:rPr>
      </w:pP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r>
              <w:rPr>
                <w:lang w:val="en-GB"/>
              </w:rPr>
              <w:t>序号</w:t>
            </w:r>
          </w:p>
        </w:tc>
        <w:tc>
          <w:tcPr>
            <w:tcW w:w="1275" w:type="dxa"/>
          </w:tcPr>
          <w:p>
            <w:pPr>
              <w:jc w:val="center"/>
              <w:rPr>
                <w:lang w:val="en-GB"/>
              </w:rPr>
            </w:pPr>
            <w:r>
              <w:rPr>
                <w:lang w:val="en-GB"/>
              </w:rPr>
              <w:t>品类</w:t>
            </w:r>
          </w:p>
        </w:tc>
        <w:tc>
          <w:tcPr>
            <w:tcW w:w="1560" w:type="dxa"/>
          </w:tcPr>
          <w:p>
            <w:pPr>
              <w:jc w:val="center"/>
              <w:rPr>
                <w:lang w:val="en-GB"/>
              </w:rPr>
            </w:pPr>
            <w:r>
              <w:rPr>
                <w:lang w:val="en-GB"/>
              </w:rPr>
              <w:t>规格</w:t>
            </w:r>
          </w:p>
        </w:tc>
        <w:tc>
          <w:tcPr>
            <w:tcW w:w="1701" w:type="dxa"/>
          </w:tcPr>
          <w:p>
            <w:pPr>
              <w:jc w:val="center"/>
              <w:rPr>
                <w:lang w:val="en-GB"/>
              </w:rPr>
            </w:pPr>
            <w:r>
              <w:rPr>
                <w:lang w:val="en-GB"/>
              </w:rPr>
              <w:t>售价：元</w:t>
            </w:r>
          </w:p>
        </w:tc>
        <w:tc>
          <w:tcPr>
            <w:tcW w:w="1510" w:type="dxa"/>
          </w:tcPr>
          <w:p>
            <w:pPr>
              <w:jc w:val="center"/>
              <w:rPr>
                <w:lang w:val="en-GB"/>
              </w:rPr>
            </w:pPr>
            <w:r>
              <w:rPr>
                <w:rFonts w:hint="eastAsia"/>
                <w:lang w:val="en-GB"/>
              </w:rPr>
              <w:t>参考</w:t>
            </w:r>
            <w:r>
              <w:rPr>
                <w:lang w:val="en-GB"/>
              </w:rPr>
              <w:t>图片</w:t>
            </w:r>
          </w:p>
        </w:tc>
        <w:tc>
          <w:tcPr>
            <w:tcW w:w="1375" w:type="dxa"/>
          </w:tcPr>
          <w:p>
            <w:pPr>
              <w:jc w:val="center"/>
              <w:rPr>
                <w:lang w:val="en-GB"/>
              </w:rPr>
            </w:pPr>
            <w:r>
              <w:rPr>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bl>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snapToGrid w:val="0"/>
        <w:spacing w:line="360" w:lineRule="auto"/>
        <w:rPr>
          <w:rFonts w:ascii="仿宋" w:hAnsi="仿宋" w:eastAsia="仿宋"/>
          <w:sz w:val="24"/>
        </w:rPr>
      </w:pPr>
      <w:r>
        <w:rPr>
          <w:rFonts w:hint="eastAsia" w:ascii="仿宋" w:hAnsi="仿宋" w:eastAsia="仿宋"/>
          <w:sz w:val="24"/>
        </w:rPr>
        <w:t>乙方已收悉并阅读甲方所有经营规章制度和管理手册，清楚明确己方的权利义务要求，乙方完全接受并响应浙江省商业集团关于产品销售及价格管理的系列要求，规范经营，提高服务质量，满足司乘需求。</w:t>
      </w:r>
    </w:p>
    <w:p>
      <w:pPr>
        <w:snapToGrid w:val="0"/>
        <w:spacing w:line="460" w:lineRule="exact"/>
        <w:jc w:val="right"/>
        <w:rPr>
          <w:rFonts w:hint="eastAsia" w:cs="黑体" w:asciiTheme="majorEastAsia" w:hAnsiTheme="majorEastAsia" w:eastAsiaTheme="majorEastAsia"/>
          <w:b/>
          <w:sz w:val="24"/>
          <w:szCs w:val="28"/>
        </w:rPr>
      </w:pPr>
      <w:r>
        <w:rPr>
          <w:rFonts w:hint="eastAsia" w:ascii="仿宋_GB2312" w:hAnsi="宋体" w:eastAsia="仿宋_GB2312"/>
          <w:sz w:val="24"/>
          <w:lang w:val="en-GB"/>
        </w:rPr>
        <w:t>【</w:t>
      </w:r>
      <w:r>
        <w:rPr>
          <w:rFonts w:hint="eastAsia" w:ascii="仿宋_GB2312" w:hAnsi="宋体" w:eastAsia="仿宋_GB2312"/>
          <w:sz w:val="24"/>
          <w:lang w:val="en-US" w:eastAsia="zh-CN"/>
        </w:rPr>
        <w:t>公司名称</w:t>
      </w:r>
      <w:r>
        <w:rPr>
          <w:rFonts w:hint="eastAsia" w:ascii="仿宋_GB2312" w:hAnsi="宋体" w:eastAsia="仿宋_GB2312"/>
          <w:sz w:val="24"/>
          <w:lang w:val="en-GB"/>
        </w:rPr>
        <w:t>】</w:t>
      </w:r>
    </w:p>
    <w:p>
      <w:pPr>
        <w:snapToGrid w:val="0"/>
        <w:spacing w:line="460" w:lineRule="exact"/>
        <w:ind w:right="0"/>
        <w:jc w:val="right"/>
        <w:rPr>
          <w:rFonts w:ascii="仿宋_GB2312" w:hAnsi="宋体" w:eastAsia="仿宋_GB2312"/>
          <w:sz w:val="24"/>
        </w:rPr>
      </w:pPr>
      <w:r>
        <w:rPr>
          <w:rFonts w:hint="eastAsia" w:cs="黑体" w:asciiTheme="majorEastAsia" w:hAnsiTheme="majorEastAsia" w:eastAsiaTheme="majorEastAsia"/>
          <w:b/>
          <w:sz w:val="24"/>
          <w:szCs w:val="28"/>
        </w:rPr>
        <w:t xml:space="preserve">   年   月   日</w:t>
      </w:r>
      <w:bookmarkEnd w:id="2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pPr>
          <w:pStyle w:val="5"/>
          <w:jc w:val="center"/>
        </w:pPr>
        <w:r>
          <w:fldChar w:fldCharType="begin"/>
        </w:r>
        <w:r>
          <w:instrText xml:space="preserve"> PAGE   \* MERGEFORMAT </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E832"/>
    <w:multiLevelType w:val="singleLevel"/>
    <w:tmpl w:val="92F0E832"/>
    <w:lvl w:ilvl="0" w:tentative="0">
      <w:start w:val="7"/>
      <w:numFmt w:val="decimal"/>
      <w:suff w:val="space"/>
      <w:lvlText w:val="%1."/>
      <w:lvlJc w:val="left"/>
    </w:lvl>
  </w:abstractNum>
  <w:abstractNum w:abstractNumId="1">
    <w:nsid w:val="BBD0522A"/>
    <w:multiLevelType w:val="singleLevel"/>
    <w:tmpl w:val="BBD0522A"/>
    <w:lvl w:ilvl="0" w:tentative="0">
      <w:start w:val="3"/>
      <w:numFmt w:val="decimal"/>
      <w:lvlText w:val="%1."/>
      <w:lvlJc w:val="left"/>
      <w:pPr>
        <w:tabs>
          <w:tab w:val="left" w:pos="312"/>
        </w:tabs>
      </w:pPr>
    </w:lvl>
  </w:abstractNum>
  <w:abstractNum w:abstractNumId="2">
    <w:nsid w:val="C7277702"/>
    <w:multiLevelType w:val="singleLevel"/>
    <w:tmpl w:val="C7277702"/>
    <w:lvl w:ilvl="0" w:tentative="0">
      <w:start w:val="2"/>
      <w:numFmt w:val="chineseCounting"/>
      <w:suff w:val="nothing"/>
      <w:lvlText w:val="（%1）"/>
      <w:lvlJc w:val="left"/>
      <w:rPr>
        <w:rFonts w:hint="eastAsia"/>
      </w:rPr>
    </w:lvl>
  </w:abstractNum>
  <w:abstractNum w:abstractNumId="3">
    <w:nsid w:val="7407013D"/>
    <w:multiLevelType w:val="singleLevel"/>
    <w:tmpl w:val="7407013D"/>
    <w:lvl w:ilvl="0" w:tentative="0">
      <w:start w:val="3"/>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c4ZWZlOTFkYzUyNTA3OGQ1YThiNjY5ZWYwOTQ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1394"/>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5508"/>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1CE9"/>
    <w:rsid w:val="00625324"/>
    <w:rsid w:val="00627062"/>
    <w:rsid w:val="0063113F"/>
    <w:rsid w:val="0063168C"/>
    <w:rsid w:val="00631D47"/>
    <w:rsid w:val="006325FB"/>
    <w:rsid w:val="00632882"/>
    <w:rsid w:val="00633E41"/>
    <w:rsid w:val="00635802"/>
    <w:rsid w:val="00641E35"/>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07A68"/>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3787"/>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4EB9"/>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E5D83"/>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3826"/>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82"/>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1C44BE"/>
    <w:rsid w:val="02FB448F"/>
    <w:rsid w:val="038D3451"/>
    <w:rsid w:val="03DB0660"/>
    <w:rsid w:val="04277401"/>
    <w:rsid w:val="05123C0E"/>
    <w:rsid w:val="05D828C4"/>
    <w:rsid w:val="063431EE"/>
    <w:rsid w:val="06AC2E4B"/>
    <w:rsid w:val="06B83EA4"/>
    <w:rsid w:val="06FD18C9"/>
    <w:rsid w:val="073A2BB2"/>
    <w:rsid w:val="07556B35"/>
    <w:rsid w:val="075B14A7"/>
    <w:rsid w:val="07B93A20"/>
    <w:rsid w:val="08D101C8"/>
    <w:rsid w:val="08FF6B9F"/>
    <w:rsid w:val="0992478A"/>
    <w:rsid w:val="099B68C7"/>
    <w:rsid w:val="09EC7123"/>
    <w:rsid w:val="0A183EA3"/>
    <w:rsid w:val="0A6749FB"/>
    <w:rsid w:val="0AA23C86"/>
    <w:rsid w:val="0ACE4A7B"/>
    <w:rsid w:val="0AD475C1"/>
    <w:rsid w:val="0B386398"/>
    <w:rsid w:val="0B8D66E4"/>
    <w:rsid w:val="0C692CAD"/>
    <w:rsid w:val="0C871385"/>
    <w:rsid w:val="0CC779D3"/>
    <w:rsid w:val="0D2B61B4"/>
    <w:rsid w:val="0D556D8D"/>
    <w:rsid w:val="0D865FF2"/>
    <w:rsid w:val="0E4A08BC"/>
    <w:rsid w:val="0F036010"/>
    <w:rsid w:val="0F146082"/>
    <w:rsid w:val="0F423341"/>
    <w:rsid w:val="0F621C35"/>
    <w:rsid w:val="0F696CB7"/>
    <w:rsid w:val="0FDC3796"/>
    <w:rsid w:val="1022117F"/>
    <w:rsid w:val="10944070"/>
    <w:rsid w:val="11036B00"/>
    <w:rsid w:val="11444DD5"/>
    <w:rsid w:val="114F1D45"/>
    <w:rsid w:val="12987A97"/>
    <w:rsid w:val="135739C0"/>
    <w:rsid w:val="13B73118"/>
    <w:rsid w:val="140E5AC1"/>
    <w:rsid w:val="141F1EA3"/>
    <w:rsid w:val="148937C0"/>
    <w:rsid w:val="15C65F3D"/>
    <w:rsid w:val="15CC7E09"/>
    <w:rsid w:val="16614E06"/>
    <w:rsid w:val="169E686A"/>
    <w:rsid w:val="16B96146"/>
    <w:rsid w:val="17465999"/>
    <w:rsid w:val="17E609B2"/>
    <w:rsid w:val="17EF3567"/>
    <w:rsid w:val="18296186"/>
    <w:rsid w:val="185A794E"/>
    <w:rsid w:val="18826293"/>
    <w:rsid w:val="191E78E7"/>
    <w:rsid w:val="19CE05F3"/>
    <w:rsid w:val="19EA6CD0"/>
    <w:rsid w:val="1A1678A4"/>
    <w:rsid w:val="1A4408B5"/>
    <w:rsid w:val="1A8213DE"/>
    <w:rsid w:val="1AF8344E"/>
    <w:rsid w:val="1B027E29"/>
    <w:rsid w:val="1B0D0CA7"/>
    <w:rsid w:val="1B80591D"/>
    <w:rsid w:val="1B9F3911"/>
    <w:rsid w:val="1C0E52F6"/>
    <w:rsid w:val="1C454471"/>
    <w:rsid w:val="1C58286D"/>
    <w:rsid w:val="1C5B7C27"/>
    <w:rsid w:val="1C8036FB"/>
    <w:rsid w:val="1CAC44F0"/>
    <w:rsid w:val="1D083E1C"/>
    <w:rsid w:val="1D2A6F9B"/>
    <w:rsid w:val="1D84721B"/>
    <w:rsid w:val="1E7A642F"/>
    <w:rsid w:val="1E875215"/>
    <w:rsid w:val="1EB3209F"/>
    <w:rsid w:val="1F3A1EA4"/>
    <w:rsid w:val="1FCA53B9"/>
    <w:rsid w:val="1FE50484"/>
    <w:rsid w:val="201E3957"/>
    <w:rsid w:val="20362A4E"/>
    <w:rsid w:val="21E93AF0"/>
    <w:rsid w:val="22161202"/>
    <w:rsid w:val="22853480"/>
    <w:rsid w:val="22AD1DB0"/>
    <w:rsid w:val="23563407"/>
    <w:rsid w:val="237703CA"/>
    <w:rsid w:val="23AF6454"/>
    <w:rsid w:val="243454F7"/>
    <w:rsid w:val="24373239"/>
    <w:rsid w:val="249661B1"/>
    <w:rsid w:val="252E5512"/>
    <w:rsid w:val="256C3D63"/>
    <w:rsid w:val="259721E1"/>
    <w:rsid w:val="264834DB"/>
    <w:rsid w:val="26692BA4"/>
    <w:rsid w:val="267C4F33"/>
    <w:rsid w:val="26FD5C2D"/>
    <w:rsid w:val="27257379"/>
    <w:rsid w:val="277327DA"/>
    <w:rsid w:val="277C091B"/>
    <w:rsid w:val="281A0EA7"/>
    <w:rsid w:val="285919D0"/>
    <w:rsid w:val="28920A3E"/>
    <w:rsid w:val="28A6273B"/>
    <w:rsid w:val="28BC2A61"/>
    <w:rsid w:val="2908797F"/>
    <w:rsid w:val="290F0A6B"/>
    <w:rsid w:val="298432BA"/>
    <w:rsid w:val="29A529F3"/>
    <w:rsid w:val="2A3C5B23"/>
    <w:rsid w:val="2A7F1496"/>
    <w:rsid w:val="2B141BDE"/>
    <w:rsid w:val="2BEF61A7"/>
    <w:rsid w:val="2C3165D7"/>
    <w:rsid w:val="2D117055"/>
    <w:rsid w:val="2D8E2BB9"/>
    <w:rsid w:val="2DA51101"/>
    <w:rsid w:val="2DBD655D"/>
    <w:rsid w:val="2DE25FC3"/>
    <w:rsid w:val="2DE955A4"/>
    <w:rsid w:val="2DF74731"/>
    <w:rsid w:val="2E0C0BF4"/>
    <w:rsid w:val="2E6D7F83"/>
    <w:rsid w:val="2F3A3BDD"/>
    <w:rsid w:val="2F4E46A9"/>
    <w:rsid w:val="2F6379A6"/>
    <w:rsid w:val="2F751F36"/>
    <w:rsid w:val="2FFF6721"/>
    <w:rsid w:val="30A03FE6"/>
    <w:rsid w:val="30A13F14"/>
    <w:rsid w:val="31376626"/>
    <w:rsid w:val="31C42A34"/>
    <w:rsid w:val="31DE2F46"/>
    <w:rsid w:val="31FC517A"/>
    <w:rsid w:val="32702F24"/>
    <w:rsid w:val="335C2374"/>
    <w:rsid w:val="33743B62"/>
    <w:rsid w:val="3380273C"/>
    <w:rsid w:val="33CB12A8"/>
    <w:rsid w:val="33EF4F96"/>
    <w:rsid w:val="34F07218"/>
    <w:rsid w:val="35134F1E"/>
    <w:rsid w:val="356D7C0D"/>
    <w:rsid w:val="35971C6B"/>
    <w:rsid w:val="36146073"/>
    <w:rsid w:val="36BA52C6"/>
    <w:rsid w:val="37040D59"/>
    <w:rsid w:val="371E4511"/>
    <w:rsid w:val="37922808"/>
    <w:rsid w:val="37C420BD"/>
    <w:rsid w:val="387B3D7E"/>
    <w:rsid w:val="389A4A0D"/>
    <w:rsid w:val="39A22AAB"/>
    <w:rsid w:val="3A0E0140"/>
    <w:rsid w:val="3A2B0CF2"/>
    <w:rsid w:val="3A6B7158"/>
    <w:rsid w:val="3A813BCE"/>
    <w:rsid w:val="3AA7481D"/>
    <w:rsid w:val="3B1F13A3"/>
    <w:rsid w:val="3B245E6D"/>
    <w:rsid w:val="3B306905"/>
    <w:rsid w:val="3C660BC5"/>
    <w:rsid w:val="3CF053BE"/>
    <w:rsid w:val="3CF940DA"/>
    <w:rsid w:val="3D015706"/>
    <w:rsid w:val="3DB1150E"/>
    <w:rsid w:val="3DD5344F"/>
    <w:rsid w:val="3E0C2BE9"/>
    <w:rsid w:val="3EAD5442"/>
    <w:rsid w:val="40792EE3"/>
    <w:rsid w:val="40842F0A"/>
    <w:rsid w:val="408847A8"/>
    <w:rsid w:val="40964384"/>
    <w:rsid w:val="40BE723A"/>
    <w:rsid w:val="40CD665F"/>
    <w:rsid w:val="40D43E92"/>
    <w:rsid w:val="414F312D"/>
    <w:rsid w:val="418D5DEE"/>
    <w:rsid w:val="42044303"/>
    <w:rsid w:val="42265DBD"/>
    <w:rsid w:val="42DD6902"/>
    <w:rsid w:val="42E257E4"/>
    <w:rsid w:val="42EB101F"/>
    <w:rsid w:val="436C03B1"/>
    <w:rsid w:val="44AA5C2B"/>
    <w:rsid w:val="450B1E4C"/>
    <w:rsid w:val="451707F1"/>
    <w:rsid w:val="45317DC6"/>
    <w:rsid w:val="4548395C"/>
    <w:rsid w:val="463A4797"/>
    <w:rsid w:val="4665558C"/>
    <w:rsid w:val="467909B7"/>
    <w:rsid w:val="467A1BA5"/>
    <w:rsid w:val="46DA7D28"/>
    <w:rsid w:val="470703F1"/>
    <w:rsid w:val="478F54C6"/>
    <w:rsid w:val="47BE31A6"/>
    <w:rsid w:val="482079BC"/>
    <w:rsid w:val="48360F8E"/>
    <w:rsid w:val="493E081D"/>
    <w:rsid w:val="49520049"/>
    <w:rsid w:val="49995C78"/>
    <w:rsid w:val="49C56A6D"/>
    <w:rsid w:val="4A6A3171"/>
    <w:rsid w:val="4A723D5D"/>
    <w:rsid w:val="4AA03036"/>
    <w:rsid w:val="4AA541A9"/>
    <w:rsid w:val="4B8D7E6C"/>
    <w:rsid w:val="4C137CE3"/>
    <w:rsid w:val="4CC0176E"/>
    <w:rsid w:val="4CC624B4"/>
    <w:rsid w:val="4CC90623"/>
    <w:rsid w:val="4CD41741"/>
    <w:rsid w:val="4D1D271C"/>
    <w:rsid w:val="4D5D0D6B"/>
    <w:rsid w:val="4DF01BDF"/>
    <w:rsid w:val="4E447918"/>
    <w:rsid w:val="4E451F2B"/>
    <w:rsid w:val="4E4D56F7"/>
    <w:rsid w:val="4F756840"/>
    <w:rsid w:val="4FEE214E"/>
    <w:rsid w:val="50283BFC"/>
    <w:rsid w:val="504306EC"/>
    <w:rsid w:val="50491BDF"/>
    <w:rsid w:val="50810EF2"/>
    <w:rsid w:val="510E0CFA"/>
    <w:rsid w:val="511D718F"/>
    <w:rsid w:val="512027DB"/>
    <w:rsid w:val="51505A58"/>
    <w:rsid w:val="518E1E3B"/>
    <w:rsid w:val="51BA7046"/>
    <w:rsid w:val="52486249"/>
    <w:rsid w:val="529F5F85"/>
    <w:rsid w:val="53511372"/>
    <w:rsid w:val="538434F5"/>
    <w:rsid w:val="53E43F94"/>
    <w:rsid w:val="540B1521"/>
    <w:rsid w:val="541F4FCC"/>
    <w:rsid w:val="542D4059"/>
    <w:rsid w:val="54692FE1"/>
    <w:rsid w:val="54C31DFB"/>
    <w:rsid w:val="551E38B0"/>
    <w:rsid w:val="55713605"/>
    <w:rsid w:val="559856FE"/>
    <w:rsid w:val="55D32512"/>
    <w:rsid w:val="562B5EAA"/>
    <w:rsid w:val="5632548A"/>
    <w:rsid w:val="56DF4229"/>
    <w:rsid w:val="571B5F1F"/>
    <w:rsid w:val="576F626A"/>
    <w:rsid w:val="58283534"/>
    <w:rsid w:val="582E1C82"/>
    <w:rsid w:val="592B61C1"/>
    <w:rsid w:val="59A66082"/>
    <w:rsid w:val="59E448A1"/>
    <w:rsid w:val="5A2E7D17"/>
    <w:rsid w:val="5A5F25C6"/>
    <w:rsid w:val="5A751DEA"/>
    <w:rsid w:val="5A8262B5"/>
    <w:rsid w:val="5AC95C92"/>
    <w:rsid w:val="5B5437AD"/>
    <w:rsid w:val="5B5C6B06"/>
    <w:rsid w:val="5B721E85"/>
    <w:rsid w:val="5B90055D"/>
    <w:rsid w:val="5B907067"/>
    <w:rsid w:val="5C2A6C04"/>
    <w:rsid w:val="5CA442C0"/>
    <w:rsid w:val="5D201AFA"/>
    <w:rsid w:val="5D487609"/>
    <w:rsid w:val="5DEB0883"/>
    <w:rsid w:val="5E345B18"/>
    <w:rsid w:val="5E4C4C10"/>
    <w:rsid w:val="5EBD3EAF"/>
    <w:rsid w:val="5F88611B"/>
    <w:rsid w:val="603718EF"/>
    <w:rsid w:val="607D4EB4"/>
    <w:rsid w:val="611539DF"/>
    <w:rsid w:val="61251748"/>
    <w:rsid w:val="61501406"/>
    <w:rsid w:val="61EC52FD"/>
    <w:rsid w:val="61F01D56"/>
    <w:rsid w:val="62024825"/>
    <w:rsid w:val="621E2D67"/>
    <w:rsid w:val="62674875"/>
    <w:rsid w:val="63C86DC4"/>
    <w:rsid w:val="64137F7D"/>
    <w:rsid w:val="64490DB8"/>
    <w:rsid w:val="64760C38"/>
    <w:rsid w:val="64D94C97"/>
    <w:rsid w:val="64E30AAF"/>
    <w:rsid w:val="65317DAE"/>
    <w:rsid w:val="656960A7"/>
    <w:rsid w:val="656B0071"/>
    <w:rsid w:val="668E5A17"/>
    <w:rsid w:val="68273FF7"/>
    <w:rsid w:val="68CF6B69"/>
    <w:rsid w:val="69603260"/>
    <w:rsid w:val="699D27C3"/>
    <w:rsid w:val="69B83AA1"/>
    <w:rsid w:val="69E228CC"/>
    <w:rsid w:val="6A3A6F85"/>
    <w:rsid w:val="6AFB1E97"/>
    <w:rsid w:val="6B511AB7"/>
    <w:rsid w:val="6BF07522"/>
    <w:rsid w:val="6CC527D6"/>
    <w:rsid w:val="6D390A55"/>
    <w:rsid w:val="6D806684"/>
    <w:rsid w:val="6DD53C0F"/>
    <w:rsid w:val="6DD54C21"/>
    <w:rsid w:val="6E873A42"/>
    <w:rsid w:val="6EAB7730"/>
    <w:rsid w:val="6ED749C9"/>
    <w:rsid w:val="6ED924EF"/>
    <w:rsid w:val="708C3DF4"/>
    <w:rsid w:val="70A02B99"/>
    <w:rsid w:val="713954C7"/>
    <w:rsid w:val="715E0A8A"/>
    <w:rsid w:val="71716D5C"/>
    <w:rsid w:val="718D25D2"/>
    <w:rsid w:val="72AD5F43"/>
    <w:rsid w:val="72AE7E0E"/>
    <w:rsid w:val="72C95059"/>
    <w:rsid w:val="72ED386C"/>
    <w:rsid w:val="730D3E89"/>
    <w:rsid w:val="73730F33"/>
    <w:rsid w:val="740F6E0E"/>
    <w:rsid w:val="745443C6"/>
    <w:rsid w:val="74BE2D5E"/>
    <w:rsid w:val="751122B7"/>
    <w:rsid w:val="755F3023"/>
    <w:rsid w:val="75BF67C5"/>
    <w:rsid w:val="760A5684"/>
    <w:rsid w:val="761459A6"/>
    <w:rsid w:val="76477D64"/>
    <w:rsid w:val="7731354F"/>
    <w:rsid w:val="77A11AA4"/>
    <w:rsid w:val="77DD62BE"/>
    <w:rsid w:val="790353E2"/>
    <w:rsid w:val="79246A5D"/>
    <w:rsid w:val="7AA468E0"/>
    <w:rsid w:val="7ABE6A3D"/>
    <w:rsid w:val="7B0411AF"/>
    <w:rsid w:val="7B391C4E"/>
    <w:rsid w:val="7B4E1B6F"/>
    <w:rsid w:val="7B5B428C"/>
    <w:rsid w:val="7B6969A9"/>
    <w:rsid w:val="7BF7386B"/>
    <w:rsid w:val="7C4E553E"/>
    <w:rsid w:val="7C916F2F"/>
    <w:rsid w:val="7CBA3C1C"/>
    <w:rsid w:val="7D8A2272"/>
    <w:rsid w:val="7DDE4023"/>
    <w:rsid w:val="7EAD12A3"/>
    <w:rsid w:val="7EB46269"/>
    <w:rsid w:val="7EC263A7"/>
    <w:rsid w:val="7F361298"/>
    <w:rsid w:val="7F4219EB"/>
    <w:rsid w:val="7F4C4618"/>
    <w:rsid w:val="7F9F7384"/>
    <w:rsid w:val="7FBB237D"/>
    <w:rsid w:val="7FFA4074"/>
    <w:rsid w:val="7FFF7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sz w:val="24"/>
    </w:rPr>
  </w:style>
  <w:style w:type="paragraph" w:styleId="3">
    <w:name w:val="annotation text"/>
    <w:basedOn w:val="1"/>
    <w:link w:val="13"/>
    <w:unhideWhenUsed/>
    <w:qFormat/>
    <w:uiPriority w:val="0"/>
    <w:pPr>
      <w:jc w:val="left"/>
    </w:pPr>
    <w:rPr>
      <w:rFonts w:asciiTheme="minorHAnsi" w:hAnsiTheme="minorHAnsi" w:eastAsiaTheme="minorEastAsia" w:cstheme="minorBidi"/>
    </w:rPr>
  </w:style>
  <w:style w:type="paragraph" w:styleId="4">
    <w:name w:val="Balloon Text"/>
    <w:basedOn w:val="1"/>
    <w:link w:val="15"/>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semiHidden/>
    <w:unhideWhenUsed/>
    <w:qFormat/>
    <w:uiPriority w:val="99"/>
    <w:rPr>
      <w:rFonts w:ascii="Times New Roman" w:hAnsi="Times New Roman" w:eastAsia="宋体" w:cs="Times New Roman"/>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link w:val="3"/>
    <w:qFormat/>
    <w:uiPriority w:val="0"/>
    <w:rPr>
      <w:szCs w:val="24"/>
    </w:rPr>
  </w:style>
  <w:style w:type="character" w:customStyle="1" w:styleId="14">
    <w:name w:val="批注文字 Char1"/>
    <w:basedOn w:val="11"/>
    <w:semiHidden/>
    <w:qFormat/>
    <w:uiPriority w:val="99"/>
    <w:rPr>
      <w:rFonts w:ascii="Times New Roman" w:hAnsi="Times New Roman" w:eastAsia="宋体" w:cs="Times New Roman"/>
      <w:szCs w:val="24"/>
    </w:rPr>
  </w:style>
  <w:style w:type="character" w:customStyle="1" w:styleId="15">
    <w:name w:val="批注框文本 Char"/>
    <w:basedOn w:val="11"/>
    <w:link w:val="4"/>
    <w:semiHidden/>
    <w:qFormat/>
    <w:uiPriority w:val="99"/>
    <w:rPr>
      <w:rFonts w:ascii="Times New Roman" w:hAnsi="Times New Roman" w:eastAsia="宋体" w:cs="Times New Roman"/>
      <w:sz w:val="18"/>
      <w:szCs w:val="18"/>
    </w:rPr>
  </w:style>
  <w:style w:type="character" w:customStyle="1" w:styleId="16">
    <w:name w:val="批注主题 Char"/>
    <w:basedOn w:val="13"/>
    <w:link w:val="8"/>
    <w:semiHidden/>
    <w:qFormat/>
    <w:uiPriority w:val="99"/>
    <w:rPr>
      <w:rFonts w:ascii="Times New Roman" w:hAnsi="Times New Roman" w:eastAsia="宋体" w:cs="Times New Roman"/>
      <w:b/>
      <w:bCs/>
      <w:szCs w:val="24"/>
    </w:rPr>
  </w:style>
  <w:style w:type="character" w:customStyle="1" w:styleId="17">
    <w:name w:val="页眉 Char"/>
    <w:basedOn w:val="11"/>
    <w:link w:val="6"/>
    <w:qFormat/>
    <w:uiPriority w:val="99"/>
    <w:rPr>
      <w:rFonts w:ascii="Times New Roman" w:hAnsi="Times New Roman" w:eastAsia="宋体" w:cs="Times New Roman"/>
      <w:sz w:val="18"/>
      <w:szCs w:val="18"/>
    </w:rPr>
  </w:style>
  <w:style w:type="character" w:customStyle="1" w:styleId="18">
    <w:name w:val="页脚 Char"/>
    <w:basedOn w:val="11"/>
    <w:link w:val="5"/>
    <w:qFormat/>
    <w:uiPriority w:val="99"/>
    <w:rPr>
      <w:rFonts w:ascii="Times New Roman" w:hAnsi="Times New Roman" w:eastAsia="宋体" w:cs="Times New Roman"/>
      <w:sz w:val="18"/>
      <w:szCs w:val="18"/>
    </w:rPr>
  </w:style>
  <w:style w:type="character" w:customStyle="1" w:styleId="19">
    <w:name w:val="文档结构图 Char"/>
    <w:basedOn w:val="11"/>
    <w:link w:val="2"/>
    <w:semiHidden/>
    <w:qFormat/>
    <w:uiPriority w:val="99"/>
    <w:rPr>
      <w:rFonts w:ascii="Times New Roman" w:hAnsi="Times New Roman" w:eastAsia="宋体" w:cs="Times New Roman"/>
      <w:sz w:val="24"/>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CD92-6D7F-4211-898C-A395A218C86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2861</Words>
  <Characters>16312</Characters>
  <Lines>135</Lines>
  <Paragraphs>38</Paragraphs>
  <TotalTime>1</TotalTime>
  <ScaleCrop>false</ScaleCrop>
  <LinksUpToDate>false</LinksUpToDate>
  <CharactersWithSpaces>19135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2022-09-02T07:04:00Z</dcterms:created>
  <dc:creator>吴健/法务合同部/交通实业公司/CICO</dc:creator>
  <cp:lastModifiedBy>舒肖玲</cp:lastModifiedBy>
  <cp:lastPrinted>2023-05-09T00:58:00Z</cp:lastPrinted>
  <dcterms:modified xsi:type="dcterms:W3CDTF">2023-11-20T07:44:02Z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A2EC02304C2245E78F3AD6E88E38BA2A_13</vt:lpwstr>
  </property>
</Properties>
</file>