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临海服务区零售类项目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三年基准经营管理费小于200万元为一个月基准经营管理费；若三年基准经营管理费超200万元（含）的，则投标单位应承诺项目中标后，缴纳3个月的基准经营管理费作为履约保证金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C196247-4198-4453-9DE8-056F2E5F34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0E3D5B1-CC7F-4933-88A3-5D9C952C1A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68165D-476E-40A1-B41B-61D21BA829F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ZmIwNzZiNDA2MWVlNTQ5YjE0ZjMyYjkxZTUxYmY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8844E8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1615A2"/>
    <w:rsid w:val="0D3112F1"/>
    <w:rsid w:val="0D3869F0"/>
    <w:rsid w:val="0DB12CAD"/>
    <w:rsid w:val="0DF262AD"/>
    <w:rsid w:val="0E44378C"/>
    <w:rsid w:val="0E812A42"/>
    <w:rsid w:val="0F621C35"/>
    <w:rsid w:val="10A83678"/>
    <w:rsid w:val="11FB025F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FF32E0"/>
    <w:rsid w:val="1B5C1C2F"/>
    <w:rsid w:val="1B7C407F"/>
    <w:rsid w:val="1D6152DA"/>
    <w:rsid w:val="1DEF6A26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71B7FB1"/>
    <w:rsid w:val="27856069"/>
    <w:rsid w:val="27C546B8"/>
    <w:rsid w:val="27F53AAD"/>
    <w:rsid w:val="28C80903"/>
    <w:rsid w:val="29970AE9"/>
    <w:rsid w:val="2A3158B9"/>
    <w:rsid w:val="2AB47951"/>
    <w:rsid w:val="2ADB2B70"/>
    <w:rsid w:val="2B1D6C02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3615F2"/>
    <w:rsid w:val="3076549F"/>
    <w:rsid w:val="308C682B"/>
    <w:rsid w:val="30EE3C03"/>
    <w:rsid w:val="31557EED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A0B4456"/>
    <w:rsid w:val="3A374AB4"/>
    <w:rsid w:val="3A7C32FC"/>
    <w:rsid w:val="3A91750A"/>
    <w:rsid w:val="3AC32CD9"/>
    <w:rsid w:val="3B6C2F5D"/>
    <w:rsid w:val="3BE90F6C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35B159A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501C30D8"/>
    <w:rsid w:val="50347679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14579D"/>
    <w:rsid w:val="54542296"/>
    <w:rsid w:val="54BD437A"/>
    <w:rsid w:val="553B6D3E"/>
    <w:rsid w:val="56C13162"/>
    <w:rsid w:val="56D86E7D"/>
    <w:rsid w:val="572422FD"/>
    <w:rsid w:val="58584F50"/>
    <w:rsid w:val="589870FB"/>
    <w:rsid w:val="58E51805"/>
    <w:rsid w:val="592A3CC7"/>
    <w:rsid w:val="594D4389"/>
    <w:rsid w:val="59883613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589</Words>
  <Characters>606</Characters>
  <Lines>1</Lines>
  <Paragraphs>1</Paragraphs>
  <TotalTime>1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翼</cp:lastModifiedBy>
  <cp:lastPrinted>2023-09-21T01:47:00Z</cp:lastPrinted>
  <dcterms:modified xsi:type="dcterms:W3CDTF">2025-09-10T02:17:19Z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02C8060ED34347C5AA5B513D1B9A74DA_13</vt:lpwstr>
  </property>
  <property fmtid="{D5CDD505-2E9C-101B-9397-08002B2CF9AE}" pid="4" name="KSOTemplateDocerSaveRecord">
    <vt:lpwstr>eyJoZGlkIjoiNzczMGVhYTM2MjdlYTMxNDVkZjIxOTcwNzIzZTc3ZTgiLCJ1c2VySWQiOiIyNDkzMzkxOTYifQ==</vt:lpwstr>
  </property>
</Properties>
</file>