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16C8" w14:textId="77777777" w:rsidR="0062797B" w:rsidRDefault="00000000">
      <w:pPr>
        <w:pStyle w:val="a3"/>
        <w:spacing w:before="5"/>
        <w:rPr>
          <w:rFonts w:hint="eastAsia"/>
          <w:b/>
          <w:sz w:val="39"/>
        </w:rPr>
      </w:pPr>
      <w:bookmarkStart w:id="0" w:name="附件一："/>
      <w:bookmarkEnd w:id="0"/>
      <w:r>
        <w:br w:type="column"/>
      </w:r>
    </w:p>
    <w:p w14:paraId="0006C20A" w14:textId="77777777" w:rsidR="0062797B" w:rsidRDefault="00000000">
      <w:pPr>
        <w:pStyle w:val="1"/>
        <w:ind w:firstLine="0"/>
        <w:rPr>
          <w:rFonts w:ascii="等线" w:eastAsia="等线" w:hint="eastAsia"/>
        </w:rPr>
      </w:pPr>
      <w:bookmarkStart w:id="1" w:name="报价函"/>
      <w:bookmarkEnd w:id="1"/>
      <w:r>
        <w:rPr>
          <w:rFonts w:ascii="等线" w:eastAsia="等线" w:hint="eastAsia"/>
        </w:rPr>
        <w:t>报价函</w:t>
      </w:r>
    </w:p>
    <w:p w14:paraId="1E4EA2C5" w14:textId="77777777" w:rsidR="0062797B" w:rsidRDefault="0062797B">
      <w:pPr>
        <w:rPr>
          <w:rFonts w:ascii="等线" w:eastAsia="等线" w:hint="eastAsia"/>
        </w:rPr>
        <w:sectPr w:rsidR="0062797B">
          <w:pgSz w:w="11910" w:h="16840"/>
          <w:pgMar w:top="1520" w:right="1540" w:bottom="280" w:left="1580" w:header="720" w:footer="720" w:gutter="0"/>
          <w:cols w:num="2" w:space="720" w:equalWidth="0">
            <w:col w:w="1384" w:space="2108"/>
            <w:col w:w="5298"/>
          </w:cols>
        </w:sectPr>
      </w:pPr>
    </w:p>
    <w:p w14:paraId="49C72EB1" w14:textId="77777777" w:rsidR="0062797B" w:rsidRDefault="0062797B">
      <w:pPr>
        <w:pStyle w:val="a3"/>
        <w:spacing w:before="4"/>
        <w:rPr>
          <w:rFonts w:ascii="等线" w:hint="eastAsia"/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783"/>
      </w:tblGrid>
      <w:tr w:rsidR="0062797B" w14:paraId="2B1115BD" w14:textId="77777777">
        <w:trPr>
          <w:trHeight w:val="467"/>
        </w:trPr>
        <w:tc>
          <w:tcPr>
            <w:tcW w:w="2689" w:type="dxa"/>
          </w:tcPr>
          <w:p w14:paraId="79571C95" w14:textId="77777777" w:rsidR="0062797B" w:rsidRDefault="00000000">
            <w:pPr>
              <w:pStyle w:val="TableParagraph"/>
              <w:spacing w:before="82"/>
              <w:ind w:left="863"/>
              <w:rPr>
                <w:rFonts w:hint="eastAsia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1DF069A1" w14:textId="63554B6B" w:rsidR="0062797B" w:rsidRDefault="00CF35E0">
            <w:pPr>
              <w:pStyle w:val="TableParagraph"/>
              <w:spacing w:before="80"/>
              <w:ind w:left="1687" w:right="16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丽水服务</w:t>
            </w:r>
            <w:r w:rsidR="00000000">
              <w:rPr>
                <w:rFonts w:hint="eastAsia"/>
                <w:sz w:val="24"/>
                <w:lang w:val="en-US"/>
              </w:rPr>
              <w:t>区零食零售类项目</w:t>
            </w:r>
          </w:p>
        </w:tc>
      </w:tr>
      <w:tr w:rsidR="0062797B" w14:paraId="2A105E4A" w14:textId="77777777">
        <w:trPr>
          <w:trHeight w:val="468"/>
        </w:trPr>
        <w:tc>
          <w:tcPr>
            <w:tcW w:w="2689" w:type="dxa"/>
          </w:tcPr>
          <w:p w14:paraId="497BBBBE" w14:textId="77777777" w:rsidR="0062797B" w:rsidRDefault="00000000">
            <w:pPr>
              <w:pStyle w:val="TableParagraph"/>
              <w:spacing w:before="82"/>
              <w:ind w:right="553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项目品牌</w:t>
            </w:r>
            <w:r>
              <w:rPr>
                <w:rFonts w:hint="eastAsia"/>
                <w:sz w:val="24"/>
                <w:lang w:val="en-US"/>
              </w:rPr>
              <w:t>/</w:t>
            </w:r>
            <w:r>
              <w:rPr>
                <w:sz w:val="24"/>
              </w:rPr>
              <w:t>范围</w:t>
            </w:r>
          </w:p>
        </w:tc>
        <w:tc>
          <w:tcPr>
            <w:tcW w:w="5783" w:type="dxa"/>
          </w:tcPr>
          <w:p w14:paraId="2ADE37D3" w14:textId="77777777" w:rsidR="0062797B" w:rsidRDefault="00000000">
            <w:pPr>
              <w:pStyle w:val="TableParagraph"/>
              <w:spacing w:before="79"/>
              <w:ind w:left="1687" w:right="164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:rsidR="0062797B" w14:paraId="412C3524" w14:textId="77777777">
        <w:trPr>
          <w:trHeight w:val="1170"/>
        </w:trPr>
        <w:tc>
          <w:tcPr>
            <w:tcW w:w="2689" w:type="dxa"/>
          </w:tcPr>
          <w:p w14:paraId="50FDFF0B" w14:textId="77777777" w:rsidR="0062797B" w:rsidRDefault="00000000">
            <w:pPr>
              <w:pStyle w:val="TableParagraph"/>
              <w:spacing w:before="199"/>
              <w:ind w:left="243" w:right="2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/>
              </w:rPr>
              <w:t>基准对客营业额</w:t>
            </w: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3B2E31BF" w14:textId="77777777" w:rsidR="0062797B" w:rsidRDefault="0062797B">
            <w:pPr>
              <w:pStyle w:val="TableParagraph"/>
              <w:ind w:left="2439"/>
              <w:jc w:val="center"/>
              <w:rPr>
                <w:rFonts w:hint="eastAsia"/>
                <w:sz w:val="24"/>
                <w:lang w:val="en-US"/>
              </w:rPr>
            </w:pPr>
          </w:p>
          <w:p w14:paraId="763743AD" w14:textId="72E7037B" w:rsidR="0062797B" w:rsidRDefault="00000000">
            <w:pPr>
              <w:pStyle w:val="TableParagraph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/>
              </w:rPr>
              <w:t>基准对客营业额</w:t>
            </w:r>
            <w:r w:rsidR="00CF35E0">
              <w:rPr>
                <w:rFonts w:hint="eastAsia"/>
                <w:sz w:val="24"/>
                <w:lang w:val="en-US"/>
              </w:rPr>
              <w:t>75.4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/>
              </w:rPr>
              <w:t>提成比例为18%。</w:t>
            </w:r>
          </w:p>
        </w:tc>
      </w:tr>
      <w:tr w:rsidR="0062797B" w14:paraId="7BAB5E87" w14:textId="77777777">
        <w:trPr>
          <w:trHeight w:val="935"/>
        </w:trPr>
        <w:tc>
          <w:tcPr>
            <w:tcW w:w="2689" w:type="dxa"/>
          </w:tcPr>
          <w:p w14:paraId="57FF7221" w14:textId="77777777" w:rsidR="0062797B" w:rsidRDefault="00000000">
            <w:pPr>
              <w:pStyle w:val="TableParagraph"/>
              <w:spacing w:before="82"/>
              <w:ind w:left="243" w:right="2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7DCA43D6" w14:textId="77777777" w:rsidR="0062797B" w:rsidRDefault="0062797B">
            <w:pPr>
              <w:pStyle w:val="TableParagraph"/>
              <w:jc w:val="center"/>
              <w:rPr>
                <w:rFonts w:hint="eastAsia"/>
                <w:sz w:val="24"/>
                <w:lang w:val="en-US"/>
              </w:rPr>
            </w:pPr>
          </w:p>
          <w:p w14:paraId="53995F81" w14:textId="77777777" w:rsidR="0062797B" w:rsidRDefault="00000000">
            <w:pPr>
              <w:pStyle w:val="TableParagraph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/>
              </w:rPr>
              <w:t xml:space="preserve">基准对客营业额 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    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/>
              </w:rPr>
              <w:t>提成比例为18%。</w:t>
            </w:r>
          </w:p>
          <w:p w14:paraId="3DF1ADF5" w14:textId="77777777" w:rsidR="0062797B" w:rsidRDefault="0062797B">
            <w:pPr>
              <w:pStyle w:val="TableParagraph"/>
              <w:jc w:val="center"/>
              <w:rPr>
                <w:rFonts w:ascii="Times New Roman" w:hint="eastAsia"/>
              </w:rPr>
            </w:pPr>
          </w:p>
        </w:tc>
      </w:tr>
      <w:tr w:rsidR="0062797B" w14:paraId="203F15AF" w14:textId="77777777">
        <w:trPr>
          <w:trHeight w:val="4636"/>
        </w:trPr>
        <w:tc>
          <w:tcPr>
            <w:tcW w:w="2689" w:type="dxa"/>
          </w:tcPr>
          <w:p w14:paraId="785648AA" w14:textId="77777777" w:rsidR="0062797B" w:rsidRDefault="0062797B">
            <w:pPr>
              <w:pStyle w:val="TableParagraph"/>
              <w:rPr>
                <w:rFonts w:ascii="等线" w:hint="eastAsia"/>
                <w:b/>
                <w:sz w:val="28"/>
              </w:rPr>
            </w:pPr>
          </w:p>
          <w:p w14:paraId="212EAA0E" w14:textId="77777777" w:rsidR="0062797B" w:rsidRDefault="0062797B">
            <w:pPr>
              <w:pStyle w:val="TableParagraph"/>
              <w:rPr>
                <w:rFonts w:ascii="等线" w:hint="eastAsia"/>
                <w:b/>
                <w:sz w:val="28"/>
              </w:rPr>
            </w:pPr>
          </w:p>
          <w:p w14:paraId="163E9E26" w14:textId="77777777" w:rsidR="0062797B" w:rsidRDefault="0062797B">
            <w:pPr>
              <w:pStyle w:val="TableParagraph"/>
              <w:rPr>
                <w:rFonts w:ascii="等线" w:hint="eastAsia"/>
                <w:b/>
                <w:sz w:val="28"/>
              </w:rPr>
            </w:pPr>
          </w:p>
          <w:p w14:paraId="7B45E115" w14:textId="77777777" w:rsidR="0062797B" w:rsidRDefault="0062797B">
            <w:pPr>
              <w:pStyle w:val="TableParagraph"/>
              <w:rPr>
                <w:rFonts w:ascii="等线" w:hint="eastAsia"/>
                <w:b/>
                <w:sz w:val="28"/>
              </w:rPr>
            </w:pPr>
          </w:p>
          <w:p w14:paraId="42D8D532" w14:textId="77777777" w:rsidR="0062797B" w:rsidRDefault="0062797B">
            <w:pPr>
              <w:pStyle w:val="TableParagraph"/>
              <w:spacing w:before="1"/>
              <w:rPr>
                <w:rFonts w:ascii="等线" w:hint="eastAsia"/>
                <w:b/>
                <w:sz w:val="30"/>
              </w:rPr>
            </w:pPr>
          </w:p>
          <w:p w14:paraId="1377AEAB" w14:textId="77777777" w:rsidR="0062797B" w:rsidRDefault="00000000">
            <w:pPr>
              <w:pStyle w:val="TableParagraph"/>
              <w:ind w:right="493"/>
              <w:jc w:val="right"/>
              <w:rPr>
                <w:rFonts w:hint="eastAsia"/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1747EE1" w14:textId="77777777" w:rsidR="006279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" w:line="242" w:lineRule="auto"/>
              <w:ind w:right="163" w:firstLine="0"/>
              <w:rPr>
                <w:rFonts w:hint="eastAsia"/>
              </w:rPr>
            </w:pPr>
            <w:r>
              <w:rPr>
                <w:spacing w:val="-3"/>
              </w:rPr>
              <w:t>响应人按照同城同价的原则经营，商品或服务的定价不高于同城同行价格</w:t>
            </w:r>
            <w:r>
              <w:t>（5%内）；</w:t>
            </w:r>
          </w:p>
          <w:p w14:paraId="1D3476C0" w14:textId="77777777" w:rsidR="006279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2" w:line="242" w:lineRule="auto"/>
              <w:ind w:right="163" w:firstLine="0"/>
              <w:jc w:val="both"/>
              <w:rPr>
                <w:rFonts w:hint="eastAsia"/>
              </w:rPr>
            </w:pPr>
            <w:r>
              <w:rPr>
                <w:spacing w:val="-3"/>
              </w:rPr>
              <w:t>响应</w:t>
            </w:r>
            <w:proofErr w:type="gramStart"/>
            <w:r>
              <w:rPr>
                <w:spacing w:val="-3"/>
              </w:rPr>
              <w:t>人品牌</w:t>
            </w:r>
            <w:proofErr w:type="gramEnd"/>
            <w:r>
              <w:rPr>
                <w:spacing w:val="-3"/>
              </w:rPr>
              <w:t>项目所经营品类，需符合品牌自身标准门店经营范围，且经营品类需经甲方审批，甲方有权对经营品类进行合理限制；</w:t>
            </w:r>
          </w:p>
          <w:p w14:paraId="00BC64B8" w14:textId="77777777" w:rsidR="006279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2"/>
              <w:ind w:right="163" w:firstLine="0"/>
              <w:rPr>
                <w:rFonts w:hint="eastAsia"/>
              </w:rPr>
            </w:pPr>
            <w:r>
              <w:rPr>
                <w:spacing w:val="-3"/>
              </w:rPr>
              <w:t>响应人对现场物业条件已经明确，如进场后需要进行调整的，相关费用由响应人自行承担；</w:t>
            </w:r>
          </w:p>
          <w:p w14:paraId="56708676" w14:textId="77777777" w:rsidR="006279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8"/>
              <w:ind w:right="163" w:firstLine="0"/>
              <w:rPr>
                <w:rFonts w:hint="eastAsia"/>
              </w:rPr>
            </w:pPr>
            <w:r>
              <w:rPr>
                <w:spacing w:val="-3"/>
              </w:rPr>
              <w:t>响应人执行商业集团标准合同，并履行营业</w:t>
            </w:r>
            <w:proofErr w:type="gramStart"/>
            <w:r>
              <w:rPr>
                <w:spacing w:val="-3"/>
              </w:rPr>
              <w:t>收入</w:t>
            </w:r>
            <w:r>
              <w:rPr>
                <w:rFonts w:hint="eastAsia"/>
                <w:spacing w:val="-3"/>
                <w:lang w:val="en-US"/>
              </w:rPr>
              <w:t>扫码录入</w:t>
            </w:r>
            <w:proofErr w:type="gramEnd"/>
            <w:r>
              <w:rPr>
                <w:spacing w:val="-2"/>
              </w:rPr>
              <w:t>模式；</w:t>
            </w:r>
          </w:p>
          <w:p w14:paraId="35E34FBC" w14:textId="77777777" w:rsidR="006279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5" w:line="242" w:lineRule="auto"/>
              <w:ind w:right="96" w:firstLine="0"/>
              <w:jc w:val="both"/>
              <w:rPr>
                <w:rFonts w:hint="eastAsia"/>
              </w:rPr>
            </w:pPr>
            <w:r>
              <w:rPr>
                <w:spacing w:val="-7"/>
              </w:rPr>
              <w:t xml:space="preserve">中标人自接到中标通知书之日起 </w:t>
            </w:r>
            <w:r>
              <w:rPr>
                <w:rFonts w:hint="eastAsia"/>
                <w:lang w:val="en-US"/>
              </w:rPr>
              <w:t>5</w:t>
            </w:r>
            <w:r>
              <w:rPr>
                <w:spacing w:val="-12"/>
              </w:rPr>
              <w:t>天内，缴纳履约保证金</w:t>
            </w:r>
            <w:r>
              <w:rPr>
                <w:spacing w:val="-3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pacing w:val="-3"/>
              </w:rPr>
              <w:t>按弃标</w:t>
            </w:r>
            <w:proofErr w:type="gramEnd"/>
            <w:r>
              <w:rPr>
                <w:spacing w:val="-3"/>
              </w:rPr>
              <w:t>处理；</w:t>
            </w:r>
          </w:p>
          <w:p w14:paraId="6C76AFB1" w14:textId="77777777" w:rsidR="006279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3"/>
              <w:ind w:left="328" w:hanging="223"/>
              <w:rPr>
                <w:rFonts w:hint="eastAsia"/>
              </w:rPr>
            </w:pPr>
            <w:r>
              <w:rPr>
                <w:spacing w:val="-3"/>
              </w:rPr>
              <w:t>本次谈判最终解释权归浙江省商业集团所有。</w:t>
            </w:r>
          </w:p>
        </w:tc>
      </w:tr>
    </w:tbl>
    <w:p w14:paraId="2F2FA222" w14:textId="77777777" w:rsidR="0062797B" w:rsidRDefault="0062797B">
      <w:pPr>
        <w:rPr>
          <w:rFonts w:hint="eastAsia"/>
        </w:rPr>
        <w:sectPr w:rsidR="0062797B">
          <w:type w:val="continuous"/>
          <w:pgSz w:w="11910" w:h="16840"/>
          <w:pgMar w:top="1440" w:right="1540" w:bottom="280" w:left="1580" w:header="720" w:footer="720" w:gutter="0"/>
          <w:cols w:space="720"/>
        </w:sectPr>
      </w:pPr>
    </w:p>
    <w:p w14:paraId="516BB7BC" w14:textId="77777777" w:rsidR="0062797B" w:rsidRDefault="0062797B">
      <w:pPr>
        <w:spacing w:before="4"/>
        <w:ind w:left="220"/>
        <w:rPr>
          <w:rFonts w:ascii="仿宋" w:eastAsia="仿宋" w:hint="eastAsia"/>
        </w:rPr>
      </w:pPr>
    </w:p>
    <w:p w14:paraId="0DB02033" w14:textId="736DA119" w:rsidR="0062797B" w:rsidRDefault="00000000" w:rsidP="00E50825">
      <w:pPr>
        <w:spacing w:before="4"/>
        <w:ind w:left="220"/>
        <w:rPr>
          <w:rFonts w:ascii="仿宋" w:eastAsia="仿宋" w:hint="eastAsia"/>
        </w:rPr>
      </w:pPr>
      <w:r>
        <w:rPr>
          <w:rFonts w:ascii="仿宋" w:eastAsia="仿宋" w:hint="eastAsia"/>
        </w:rPr>
        <w:t>谈判响应人：</w:t>
      </w:r>
      <w:r>
        <w:rPr>
          <w:rFonts w:ascii="仿宋" w:eastAsia="仿宋" w:hint="eastAsia"/>
          <w:u w:val="single"/>
        </w:rPr>
        <w:t>（公司全称）（盖章）</w:t>
      </w:r>
    </w:p>
    <w:p w14:paraId="38CFF934" w14:textId="77777777" w:rsidR="0062797B" w:rsidRDefault="00000000">
      <w:pPr>
        <w:tabs>
          <w:tab w:val="left" w:pos="1100"/>
        </w:tabs>
        <w:spacing w:before="73" w:line="304" w:lineRule="auto"/>
        <w:ind w:left="220" w:right="38"/>
        <w:rPr>
          <w:rFonts w:ascii="仿宋" w:eastAsia="仿宋" w:hint="eastAsia"/>
        </w:rPr>
      </w:pPr>
      <w:r>
        <w:rPr>
          <w:rFonts w:ascii="仿宋" w:eastAsia="仿宋" w:hint="eastAsia"/>
        </w:rPr>
        <w:t>法</w:t>
      </w:r>
      <w:r>
        <w:rPr>
          <w:rFonts w:ascii="仿宋" w:eastAsia="仿宋" w:hint="eastAsia"/>
          <w:spacing w:val="-3"/>
        </w:rPr>
        <w:t>定</w:t>
      </w:r>
      <w:r>
        <w:rPr>
          <w:rFonts w:ascii="仿宋" w:eastAsia="仿宋" w:hint="eastAsia"/>
        </w:rPr>
        <w:t>代表</w:t>
      </w:r>
      <w:r>
        <w:rPr>
          <w:rFonts w:ascii="仿宋" w:eastAsia="仿宋" w:hint="eastAsia"/>
          <w:spacing w:val="-3"/>
        </w:rPr>
        <w:t>人</w:t>
      </w:r>
      <w:r>
        <w:rPr>
          <w:rFonts w:ascii="仿宋" w:eastAsia="仿宋" w:hint="eastAsia"/>
        </w:rPr>
        <w:t>或其</w:t>
      </w:r>
      <w:r>
        <w:rPr>
          <w:rFonts w:ascii="仿宋" w:eastAsia="仿宋" w:hint="eastAsia"/>
          <w:spacing w:val="-3"/>
        </w:rPr>
        <w:t>授</w:t>
      </w:r>
      <w:r>
        <w:rPr>
          <w:rFonts w:ascii="仿宋" w:eastAsia="仿宋" w:hint="eastAsia"/>
        </w:rPr>
        <w:t>权的</w:t>
      </w:r>
      <w:r>
        <w:rPr>
          <w:rFonts w:ascii="仿宋" w:eastAsia="仿宋" w:hint="eastAsia"/>
          <w:spacing w:val="-3"/>
        </w:rPr>
        <w:t>代</w:t>
      </w:r>
      <w:r>
        <w:rPr>
          <w:rFonts w:ascii="仿宋" w:eastAsia="仿宋" w:hint="eastAsia"/>
        </w:rPr>
        <w:t>理人：</w:t>
      </w:r>
      <w:r>
        <w:rPr>
          <w:rFonts w:ascii="仿宋" w:eastAsia="仿宋" w:hint="eastAsia"/>
          <w:u w:val="single"/>
        </w:rPr>
        <w:t>（</w:t>
      </w:r>
      <w:r>
        <w:rPr>
          <w:rFonts w:ascii="仿宋" w:eastAsia="仿宋" w:hint="eastAsia"/>
          <w:spacing w:val="-3"/>
          <w:u w:val="single"/>
        </w:rPr>
        <w:t>签</w:t>
      </w:r>
      <w:r>
        <w:rPr>
          <w:rFonts w:ascii="仿宋" w:eastAsia="仿宋" w:hint="eastAsia"/>
          <w:u w:val="single"/>
        </w:rPr>
        <w:t xml:space="preserve">字） </w:t>
      </w:r>
      <w:r>
        <w:rPr>
          <w:rFonts w:ascii="仿宋" w:eastAsia="仿宋" w:hint="eastAsia"/>
        </w:rPr>
        <w:t>地</w:t>
      </w:r>
      <w:r>
        <w:rPr>
          <w:rFonts w:ascii="仿宋" w:eastAsia="仿宋" w:hint="eastAsia"/>
        </w:rPr>
        <w:tab/>
        <w:t>址：</w:t>
      </w:r>
    </w:p>
    <w:p w14:paraId="1D980DF8" w14:textId="77777777" w:rsidR="0062797B" w:rsidRDefault="00000000">
      <w:pPr>
        <w:spacing w:line="304" w:lineRule="auto"/>
        <w:ind w:left="220" w:right="3006"/>
        <w:rPr>
          <w:rFonts w:ascii="仿宋" w:eastAsia="仿宋" w:hint="eastAsia"/>
        </w:rPr>
      </w:pPr>
      <w:r>
        <w:rPr>
          <w:rFonts w:ascii="仿宋" w:eastAsia="仿宋" w:hint="eastAsia"/>
        </w:rPr>
        <w:t>邮政编码： 电话：</w:t>
      </w:r>
    </w:p>
    <w:p w14:paraId="6D5CA0E8" w14:textId="77777777" w:rsidR="0062797B" w:rsidRDefault="00000000">
      <w:pPr>
        <w:pStyle w:val="a3"/>
        <w:rPr>
          <w:rFonts w:ascii="仿宋" w:hint="eastAsia"/>
          <w:sz w:val="24"/>
        </w:rPr>
      </w:pPr>
      <w:r>
        <w:br w:type="column"/>
      </w:r>
    </w:p>
    <w:p w14:paraId="1595DEDE" w14:textId="77777777" w:rsidR="0062797B" w:rsidRDefault="0062797B">
      <w:pPr>
        <w:pStyle w:val="a3"/>
        <w:rPr>
          <w:rFonts w:ascii="仿宋" w:hint="eastAsia"/>
          <w:sz w:val="24"/>
        </w:rPr>
      </w:pPr>
    </w:p>
    <w:p w14:paraId="3193A46B" w14:textId="77777777" w:rsidR="0062797B" w:rsidRDefault="0062797B">
      <w:pPr>
        <w:pStyle w:val="a3"/>
        <w:rPr>
          <w:rFonts w:ascii="仿宋" w:hint="eastAsia"/>
          <w:sz w:val="24"/>
        </w:rPr>
      </w:pPr>
    </w:p>
    <w:p w14:paraId="08177870" w14:textId="77777777" w:rsidR="0062797B" w:rsidRDefault="0062797B">
      <w:pPr>
        <w:pStyle w:val="a3"/>
        <w:rPr>
          <w:rFonts w:ascii="仿宋" w:hint="eastAsia"/>
          <w:sz w:val="24"/>
        </w:rPr>
      </w:pPr>
    </w:p>
    <w:p w14:paraId="077412D1" w14:textId="77777777" w:rsidR="0062797B" w:rsidRDefault="0062797B">
      <w:pPr>
        <w:pStyle w:val="a3"/>
        <w:rPr>
          <w:rFonts w:ascii="仿宋" w:hint="eastAsia"/>
          <w:sz w:val="24"/>
        </w:rPr>
      </w:pPr>
    </w:p>
    <w:p w14:paraId="0B02A343" w14:textId="77777777" w:rsidR="0062797B" w:rsidRDefault="0062797B">
      <w:pPr>
        <w:pStyle w:val="a3"/>
        <w:spacing w:before="5"/>
        <w:rPr>
          <w:rFonts w:ascii="仿宋" w:hint="eastAsia"/>
          <w:sz w:val="19"/>
        </w:rPr>
      </w:pPr>
    </w:p>
    <w:p w14:paraId="7F3DF1D1" w14:textId="77777777" w:rsidR="0062797B" w:rsidRDefault="0062797B">
      <w:pPr>
        <w:ind w:left="220"/>
        <w:rPr>
          <w:rFonts w:ascii="仿宋" w:eastAsia="仿宋" w:hint="eastAsia"/>
          <w:sz w:val="24"/>
        </w:rPr>
      </w:pPr>
    </w:p>
    <w:p w14:paraId="0672CCC6" w14:textId="77777777" w:rsidR="0062797B" w:rsidRDefault="0062797B">
      <w:pPr>
        <w:ind w:left="220"/>
        <w:rPr>
          <w:rFonts w:ascii="仿宋" w:eastAsia="仿宋" w:hint="eastAsia"/>
          <w:sz w:val="24"/>
        </w:rPr>
      </w:pPr>
    </w:p>
    <w:p w14:paraId="7D26867E" w14:textId="77777777" w:rsidR="0062797B" w:rsidRDefault="0062797B">
      <w:pPr>
        <w:ind w:left="220"/>
        <w:rPr>
          <w:rFonts w:ascii="仿宋" w:eastAsia="仿宋" w:hint="eastAsia"/>
          <w:sz w:val="24"/>
        </w:rPr>
      </w:pPr>
    </w:p>
    <w:p w14:paraId="4A028350" w14:textId="77777777" w:rsidR="0062797B" w:rsidRDefault="00000000">
      <w:pPr>
        <w:ind w:left="220"/>
        <w:rPr>
          <w:rFonts w:ascii="仿宋" w:eastAsia="仿宋" w:hint="eastAsia"/>
          <w:sz w:val="24"/>
        </w:rPr>
      </w:pPr>
      <w:r>
        <w:rPr>
          <w:rFonts w:ascii="仿宋" w:eastAsia="仿宋" w:hint="eastAsia"/>
          <w:sz w:val="24"/>
        </w:rPr>
        <w:t>年</w:t>
      </w:r>
      <w:r>
        <w:rPr>
          <w:rFonts w:ascii="仿宋" w:eastAsia="仿宋" w:hint="eastAsia"/>
          <w:sz w:val="24"/>
          <w:lang w:val="en-US"/>
        </w:rPr>
        <w:t xml:space="preserve">  </w:t>
      </w:r>
      <w:r>
        <w:rPr>
          <w:rFonts w:ascii="仿宋" w:eastAsia="仿宋" w:hint="eastAsia"/>
          <w:sz w:val="24"/>
        </w:rPr>
        <w:t>月</w:t>
      </w:r>
      <w:r>
        <w:rPr>
          <w:rFonts w:ascii="仿宋" w:eastAsia="仿宋" w:hint="eastAsia"/>
          <w:sz w:val="24"/>
          <w:lang w:val="en-US"/>
        </w:rPr>
        <w:t xml:space="preserve">  </w:t>
      </w:r>
      <w:r>
        <w:rPr>
          <w:rFonts w:ascii="仿宋" w:eastAsia="仿宋" w:hint="eastAsia"/>
          <w:sz w:val="24"/>
        </w:rPr>
        <w:t>日</w:t>
      </w:r>
    </w:p>
    <w:p w14:paraId="5D74717F" w14:textId="77777777" w:rsidR="0062797B" w:rsidRDefault="0062797B">
      <w:pPr>
        <w:rPr>
          <w:rFonts w:ascii="仿宋" w:eastAsia="仿宋" w:hint="eastAsia"/>
          <w:sz w:val="24"/>
        </w:rPr>
        <w:sectPr w:rsidR="0062797B">
          <w:type w:val="continuous"/>
          <w:pgSz w:w="11910" w:h="16840"/>
          <w:pgMar w:top="1440" w:right="1540" w:bottom="280" w:left="1580" w:header="720" w:footer="720" w:gutter="0"/>
          <w:cols w:num="2" w:space="720" w:equalWidth="0">
            <w:col w:w="4330" w:space="2615"/>
            <w:col w:w="1845"/>
          </w:cols>
        </w:sectPr>
      </w:pPr>
    </w:p>
    <w:p w14:paraId="57330262" w14:textId="77777777" w:rsidR="0062797B" w:rsidRDefault="0062797B">
      <w:pPr>
        <w:pStyle w:val="a3"/>
        <w:rPr>
          <w:rFonts w:ascii="仿宋" w:hint="eastAsia"/>
          <w:sz w:val="20"/>
        </w:rPr>
      </w:pPr>
    </w:p>
    <w:p w14:paraId="5AEF3CFF" w14:textId="77777777" w:rsidR="0062797B" w:rsidRDefault="0062797B">
      <w:pPr>
        <w:pStyle w:val="a3"/>
        <w:rPr>
          <w:rFonts w:ascii="仿宋" w:hint="eastAsia"/>
          <w:sz w:val="20"/>
        </w:rPr>
      </w:pPr>
    </w:p>
    <w:p w14:paraId="2703E2D9" w14:textId="77777777" w:rsidR="0062797B" w:rsidRDefault="0062797B">
      <w:pPr>
        <w:pStyle w:val="a3"/>
        <w:rPr>
          <w:rFonts w:ascii="仿宋" w:hint="eastAsia"/>
          <w:sz w:val="20"/>
        </w:rPr>
      </w:pPr>
    </w:p>
    <w:p w14:paraId="5B225B00" w14:textId="77777777" w:rsidR="0062797B" w:rsidRDefault="0062797B">
      <w:pPr>
        <w:pStyle w:val="a3"/>
        <w:rPr>
          <w:rFonts w:ascii="仿宋" w:hint="eastAsia"/>
          <w:sz w:val="20"/>
        </w:rPr>
      </w:pPr>
    </w:p>
    <w:p w14:paraId="5009E35E" w14:textId="77777777" w:rsidR="0062797B" w:rsidRDefault="0062797B">
      <w:pPr>
        <w:pStyle w:val="a3"/>
        <w:rPr>
          <w:rFonts w:ascii="仿宋" w:hint="eastAsia"/>
          <w:sz w:val="20"/>
        </w:rPr>
      </w:pPr>
    </w:p>
    <w:p w14:paraId="26647B38" w14:textId="77777777" w:rsidR="0062797B" w:rsidRDefault="0062797B">
      <w:pPr>
        <w:pStyle w:val="a3"/>
        <w:rPr>
          <w:rFonts w:ascii="仿宋" w:hint="eastAsia"/>
          <w:sz w:val="20"/>
        </w:rPr>
      </w:pPr>
    </w:p>
    <w:p w14:paraId="77D7E6A9" w14:textId="77777777" w:rsidR="0062797B" w:rsidRDefault="0062797B">
      <w:pPr>
        <w:spacing w:before="64"/>
        <w:ind w:right="257"/>
        <w:jc w:val="both"/>
        <w:rPr>
          <w:rFonts w:ascii="Calibri" w:hint="eastAsia"/>
          <w:sz w:val="18"/>
        </w:rPr>
      </w:pPr>
    </w:p>
    <w:sectPr w:rsidR="0062797B">
      <w:type w:val="continuous"/>
      <w:pgSz w:w="11910" w:h="16840"/>
      <w:pgMar w:top="144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6692" w14:textId="77777777" w:rsidR="009501D6" w:rsidRDefault="009501D6">
      <w:pPr>
        <w:rPr>
          <w:rFonts w:hint="eastAsia"/>
        </w:rPr>
      </w:pPr>
      <w:r>
        <w:separator/>
      </w:r>
    </w:p>
  </w:endnote>
  <w:endnote w:type="continuationSeparator" w:id="0">
    <w:p w14:paraId="01B4ADAE" w14:textId="77777777" w:rsidR="009501D6" w:rsidRDefault="009501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5E61" w14:textId="77777777" w:rsidR="009501D6" w:rsidRDefault="009501D6">
      <w:pPr>
        <w:rPr>
          <w:rFonts w:hint="eastAsia"/>
        </w:rPr>
      </w:pPr>
      <w:r>
        <w:separator/>
      </w:r>
    </w:p>
  </w:footnote>
  <w:footnote w:type="continuationSeparator" w:id="0">
    <w:p w14:paraId="34F39508" w14:textId="77777777" w:rsidR="009501D6" w:rsidRDefault="009501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06" w:hanging="222"/>
        <w:jc w:val="left"/>
      </w:pPr>
      <w:rPr>
        <w:rFonts w:ascii="仿宋" w:eastAsia="仿宋" w:hAnsi="仿宋" w:cs="仿宋" w:hint="default"/>
        <w:spacing w:val="-1"/>
        <w:w w:val="100"/>
        <w:sz w:val="20"/>
        <w:szCs w:val="20"/>
        <w:lang w:val="zh-CN" w:eastAsia="zh-CN" w:bidi="zh-CN"/>
      </w:rPr>
    </w:lvl>
    <w:lvl w:ilvl="1"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 w16cid:durableId="16895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iNmE0MmQ5MzhiNmUyMjhmMWZhMGEzYmQxMjNiMTgifQ=="/>
  </w:docVars>
  <w:rsids>
    <w:rsidRoot w:val="0062797B"/>
    <w:rsid w:val="0062797B"/>
    <w:rsid w:val="009501D6"/>
    <w:rsid w:val="00CF35E0"/>
    <w:rsid w:val="00E50825"/>
    <w:rsid w:val="00E5350B"/>
    <w:rsid w:val="00EC6666"/>
    <w:rsid w:val="014A2DD9"/>
    <w:rsid w:val="02D60BBC"/>
    <w:rsid w:val="03604B36"/>
    <w:rsid w:val="03E868D9"/>
    <w:rsid w:val="03FA01E3"/>
    <w:rsid w:val="05A27C1F"/>
    <w:rsid w:val="067573D2"/>
    <w:rsid w:val="0A2E0359"/>
    <w:rsid w:val="0BA74293"/>
    <w:rsid w:val="0C023978"/>
    <w:rsid w:val="130D010A"/>
    <w:rsid w:val="1669632D"/>
    <w:rsid w:val="168A1198"/>
    <w:rsid w:val="187A5778"/>
    <w:rsid w:val="192D6E10"/>
    <w:rsid w:val="1A976C37"/>
    <w:rsid w:val="1C2A5889"/>
    <w:rsid w:val="1CF523B1"/>
    <w:rsid w:val="1F3025A1"/>
    <w:rsid w:val="21B46321"/>
    <w:rsid w:val="22431452"/>
    <w:rsid w:val="26485289"/>
    <w:rsid w:val="28327DC7"/>
    <w:rsid w:val="2A3504C2"/>
    <w:rsid w:val="2A662182"/>
    <w:rsid w:val="2CCF4D54"/>
    <w:rsid w:val="2EDB58D9"/>
    <w:rsid w:val="303A4307"/>
    <w:rsid w:val="304906A3"/>
    <w:rsid w:val="312C13E2"/>
    <w:rsid w:val="313327AF"/>
    <w:rsid w:val="33E339E3"/>
    <w:rsid w:val="34C226AB"/>
    <w:rsid w:val="35C3492C"/>
    <w:rsid w:val="383F607D"/>
    <w:rsid w:val="38D960CC"/>
    <w:rsid w:val="3D6E33D0"/>
    <w:rsid w:val="403C336D"/>
    <w:rsid w:val="40E73F19"/>
    <w:rsid w:val="40EF4827"/>
    <w:rsid w:val="42BF647C"/>
    <w:rsid w:val="430345BA"/>
    <w:rsid w:val="45BC4EF4"/>
    <w:rsid w:val="47FA661A"/>
    <w:rsid w:val="48A71E8C"/>
    <w:rsid w:val="4D391480"/>
    <w:rsid w:val="4D3B0DF4"/>
    <w:rsid w:val="4E4361B3"/>
    <w:rsid w:val="4EE34A02"/>
    <w:rsid w:val="50334212"/>
    <w:rsid w:val="518B234A"/>
    <w:rsid w:val="52652B38"/>
    <w:rsid w:val="57A53A3A"/>
    <w:rsid w:val="59BE7035"/>
    <w:rsid w:val="59C279D7"/>
    <w:rsid w:val="5A696FA1"/>
    <w:rsid w:val="5A7A3549"/>
    <w:rsid w:val="5B2B06FA"/>
    <w:rsid w:val="5CFA65D6"/>
    <w:rsid w:val="602C2F4B"/>
    <w:rsid w:val="60563B85"/>
    <w:rsid w:val="61B95D81"/>
    <w:rsid w:val="624A0E39"/>
    <w:rsid w:val="665C4B70"/>
    <w:rsid w:val="6727446C"/>
    <w:rsid w:val="67D0065F"/>
    <w:rsid w:val="68B7181F"/>
    <w:rsid w:val="695F4434"/>
    <w:rsid w:val="696C260A"/>
    <w:rsid w:val="6A681B0C"/>
    <w:rsid w:val="744E03BE"/>
    <w:rsid w:val="74B3733F"/>
    <w:rsid w:val="78011B0A"/>
    <w:rsid w:val="792B181D"/>
    <w:rsid w:val="79DD6C0C"/>
    <w:rsid w:val="7C29438A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0B4EF"/>
  <w15:docId w15:val="{425BAF18-A33C-4BF6-AF87-1EFDF592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ind w:left="220" w:hanging="221"/>
      <w:outlineLvl w:val="0"/>
    </w:pPr>
    <w:rPr>
      <w:rFonts w:ascii="宋体" w:eastAsia="宋体" w:hAnsi="宋体" w:cs="宋体"/>
      <w:b/>
      <w:bCs/>
      <w:sz w:val="44"/>
      <w:szCs w:val="44"/>
    </w:rPr>
  </w:style>
  <w:style w:type="paragraph" w:styleId="2">
    <w:name w:val="heading 2"/>
    <w:basedOn w:val="a"/>
    <w:next w:val="a"/>
    <w:autoRedefine/>
    <w:uiPriority w:val="1"/>
    <w:qFormat/>
    <w:pPr>
      <w:ind w:left="860"/>
      <w:outlineLvl w:val="1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32"/>
      <w:szCs w:val="32"/>
    </w:rPr>
  </w:style>
  <w:style w:type="character" w:styleId="a4">
    <w:name w:val="FollowedHyperlink"/>
    <w:basedOn w:val="a0"/>
    <w:autoRedefine/>
    <w:qFormat/>
    <w:rPr>
      <w:color w:val="426CAD"/>
      <w:u w:val="none"/>
    </w:rPr>
  </w:style>
  <w:style w:type="character" w:styleId="a5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Acronym"/>
    <w:basedOn w:val="a0"/>
    <w:autoRedefine/>
    <w:qFormat/>
  </w:style>
  <w:style w:type="character" w:styleId="HTML1">
    <w:name w:val="HTML Variable"/>
    <w:basedOn w:val="a0"/>
    <w:autoRedefine/>
    <w:qFormat/>
  </w:style>
  <w:style w:type="character" w:styleId="a6">
    <w:name w:val="Hyperlink"/>
    <w:basedOn w:val="a0"/>
    <w:autoRedefine/>
    <w:qFormat/>
    <w:rPr>
      <w:color w:val="426CAD"/>
      <w:u w:val="none"/>
    </w:rPr>
  </w:style>
  <w:style w:type="character" w:styleId="HTML2">
    <w:name w:val="HTML Code"/>
    <w:basedOn w:val="a0"/>
    <w:autoRedefine/>
    <w:qFormat/>
    <w:rPr>
      <w:rFonts w:ascii="Courier New" w:hAnsi="Courier New"/>
      <w:sz w:val="20"/>
    </w:rPr>
  </w:style>
  <w:style w:type="character" w:styleId="HTML3">
    <w:name w:val="HTML Cite"/>
    <w:basedOn w:val="a0"/>
    <w:autoRedefine/>
    <w:qFormat/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autoRedefine/>
    <w:uiPriority w:val="1"/>
    <w:qFormat/>
    <w:pPr>
      <w:spacing w:before="3"/>
      <w:ind w:left="220" w:firstLine="640"/>
    </w:pPr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character" w:customStyle="1" w:styleId="info1">
    <w:name w:val="info1"/>
    <w:basedOn w:val="a0"/>
    <w:autoRedefine/>
    <w:qFormat/>
    <w:rPr>
      <w:color w:val="999999"/>
      <w:sz w:val="21"/>
      <w:szCs w:val="21"/>
    </w:rPr>
  </w:style>
  <w:style w:type="paragraph" w:styleId="a8">
    <w:name w:val="header"/>
    <w:basedOn w:val="a"/>
    <w:link w:val="a9"/>
    <w:rsid w:val="00CF35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F35E0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a">
    <w:name w:val="footer"/>
    <w:basedOn w:val="a"/>
    <w:link w:val="ab"/>
    <w:rsid w:val="00CF35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F35E0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俊</dc:creator>
  <cp:lastModifiedBy>杰 陈</cp:lastModifiedBy>
  <cp:revision>3</cp:revision>
  <dcterms:created xsi:type="dcterms:W3CDTF">2022-09-28T02:13:00Z</dcterms:created>
  <dcterms:modified xsi:type="dcterms:W3CDTF">2025-09-17T02:50:00Z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AF486B1C74844DC8BF792ABCC05F0738_13</vt:lpwstr>
  </property>
  <property fmtid="{D5CDD505-2E9C-101B-9397-08002B2CF9AE}" pid="7" name="KSOTemplateDocerSaveRecord">
    <vt:lpwstr>eyJoZGlkIjoiNWNlNjQ5NGQ1OTQwZmI1OTQ4MjE5MGYyMWIzZmUzNDciLCJ1c2VySWQiOiI0OTc5MDY4MzQifQ==</vt:lpwstr>
  </property>
</Properties>
</file>