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1"/>
        <w:rPr>
          <w:rFonts w:ascii="仿宋_GB2312" w:eastAsia="仿宋_GB2312"/>
          <w:b/>
          <w:sz w:val="32"/>
          <w:szCs w:val="32"/>
        </w:rPr>
      </w:pPr>
      <w:bookmarkStart w:id="0" w:name="OLE_LINK20"/>
      <w:bookmarkStart w:id="1" w:name="OLE_LINK8"/>
      <w:r>
        <w:rPr>
          <w:rFonts w:hint="eastAsia" w:ascii="仿宋_GB2312" w:eastAsia="仿宋_GB2312"/>
          <w:b/>
          <w:sz w:val="32"/>
          <w:szCs w:val="32"/>
          <w:lang w:val="en-US" w:eastAsia="zh-CN"/>
        </w:rPr>
        <w:t xml:space="preserve">  </w:t>
      </w:r>
      <w:r>
        <w:rPr>
          <w:rFonts w:hint="eastAsia" w:ascii="仿宋_GB2312" w:eastAsia="仿宋_GB2312"/>
          <w:b/>
          <w:sz w:val="32"/>
          <w:szCs w:val="32"/>
        </w:rPr>
        <w:t>服务区</w:t>
      </w:r>
      <w:r>
        <w:rPr>
          <w:rFonts w:hint="eastAsia" w:ascii="仿宋_GB2312" w:eastAsia="仿宋_GB2312"/>
          <w:b/>
          <w:sz w:val="32"/>
          <w:szCs w:val="32"/>
          <w:lang w:val="en-US" w:eastAsia="zh-CN"/>
        </w:rPr>
        <w:t xml:space="preserve">      </w:t>
      </w:r>
      <w:r>
        <w:rPr>
          <w:rFonts w:hint="eastAsia" w:ascii="仿宋_GB2312" w:eastAsia="仿宋_GB2312"/>
          <w:b/>
          <w:sz w:val="32"/>
          <w:szCs w:val="32"/>
        </w:rPr>
        <w:t>项目经营管理合同</w:t>
      </w:r>
      <w:bookmarkEnd w:id="0"/>
    </w:p>
    <w:bookmarkEnd w:id="1"/>
    <w:p>
      <w:pPr>
        <w:spacing w:line="480" w:lineRule="exact"/>
        <w:jc w:val="right"/>
        <w:outlineLvl w:val="1"/>
        <w:rPr>
          <w:rFonts w:hint="default" w:ascii="仿宋_GB2312" w:eastAsia="仿宋_GB2312"/>
          <w:b/>
          <w:sz w:val="22"/>
          <w:szCs w:val="22"/>
          <w:lang w:val="en-US" w:eastAsia="zh-CN"/>
        </w:rPr>
      </w:pPr>
      <w:r>
        <w:rPr>
          <w:rFonts w:hint="eastAsia" w:ascii="仿宋_GB2312" w:eastAsia="仿宋_GB2312"/>
          <w:b/>
          <w:sz w:val="22"/>
          <w:szCs w:val="22"/>
          <w:lang w:val="en-US" w:eastAsia="zh-CN"/>
        </w:rPr>
        <w:t>合同编号：【】</w:t>
      </w:r>
    </w:p>
    <w:p>
      <w:pPr>
        <w:spacing w:line="480" w:lineRule="exact"/>
        <w:rPr>
          <w:rFonts w:ascii="仿宋_GB2312" w:eastAsia="仿宋_GB2312"/>
          <w:color w:val="000000" w:themeColor="text1"/>
          <w:sz w:val="24"/>
          <w14:textFill>
            <w14:solidFill>
              <w14:schemeClr w14:val="tx1"/>
            </w14:solidFill>
          </w14:textFill>
        </w:rPr>
      </w:pPr>
      <w:bookmarkStart w:id="2" w:name="OLE_LINK21"/>
      <w:r>
        <w:rPr>
          <w:rFonts w:hint="eastAsia" w:ascii="仿宋_GB2312" w:eastAsia="仿宋_GB2312"/>
          <w:sz w:val="24"/>
        </w:rPr>
        <w:t>甲方：</w:t>
      </w:r>
      <w:bookmarkStart w:id="3" w:name="OLE_LINK3"/>
      <w:r>
        <w:rPr>
          <w:rFonts w:hint="eastAsia" w:ascii="仿宋_GB2312" w:eastAsia="仿宋_GB2312"/>
          <w:sz w:val="24"/>
          <w:lang w:val="en-US" w:eastAsia="zh-CN"/>
        </w:rPr>
        <w:t xml:space="preserve"> </w:t>
      </w:r>
      <w:bookmarkEnd w:id="3"/>
    </w:p>
    <w:p>
      <w:pPr>
        <w:spacing w:line="480" w:lineRule="exact"/>
        <w:rPr>
          <w:rFonts w:ascii="仿宋_GB2312" w:eastAsia="仿宋_GB2312"/>
          <w:sz w:val="24"/>
        </w:rPr>
      </w:pPr>
      <w:r>
        <w:rPr>
          <w:rFonts w:hint="eastAsia" w:ascii="仿宋_GB2312" w:eastAsia="仿宋_GB2312"/>
          <w:sz w:val="24"/>
        </w:rPr>
        <w:t>地址：</w:t>
      </w:r>
      <w:bookmarkStart w:id="4" w:name="OLE_LINK4"/>
    </w:p>
    <w:bookmarkEnd w:id="4"/>
    <w:p>
      <w:pPr>
        <w:spacing w:line="480" w:lineRule="exact"/>
        <w:rPr>
          <w:rFonts w:hint="eastAsia" w:ascii="仿宋_GB2312" w:eastAsia="仿宋_GB2312"/>
          <w:sz w:val="24"/>
          <w:lang w:eastAsia="zh-CN"/>
        </w:rPr>
      </w:pPr>
      <w:r>
        <w:rPr>
          <w:rFonts w:hint="eastAsia" w:ascii="仿宋_GB2312" w:eastAsia="仿宋_GB2312"/>
          <w:sz w:val="24"/>
        </w:rPr>
        <w:t>负责人：</w:t>
      </w:r>
    </w:p>
    <w:p>
      <w:pPr>
        <w:spacing w:line="480" w:lineRule="exact"/>
        <w:rPr>
          <w:rFonts w:ascii="仿宋_GB2312" w:eastAsia="仿宋_GB2312"/>
          <w:sz w:val="24"/>
        </w:rPr>
      </w:pPr>
      <w:r>
        <w:rPr>
          <w:rFonts w:hint="eastAsia" w:ascii="仿宋_GB2312" w:eastAsia="仿宋_GB2312"/>
          <w:sz w:val="24"/>
        </w:rPr>
        <w:t>（以下简称甲方）</w:t>
      </w:r>
    </w:p>
    <w:bookmarkEnd w:id="2"/>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乙方：</w:t>
      </w:r>
      <w:bookmarkStart w:id="5" w:name="OLE_LINK17"/>
    </w:p>
    <w:bookmarkEnd w:id="5"/>
    <w:p>
      <w:pPr>
        <w:spacing w:line="480" w:lineRule="exact"/>
        <w:rPr>
          <w:rFonts w:ascii="仿宋_GB2312" w:eastAsia="仿宋_GB2312"/>
          <w:sz w:val="24"/>
        </w:rPr>
      </w:pPr>
      <w:r>
        <w:rPr>
          <w:rFonts w:hint="eastAsia" w:ascii="仿宋_GB2312" w:eastAsia="仿宋_GB2312"/>
          <w:sz w:val="24"/>
        </w:rPr>
        <w:t>地址：</w:t>
      </w:r>
      <w:bookmarkStart w:id="6" w:name="OLE_LINK6"/>
    </w:p>
    <w:bookmarkEnd w:id="6"/>
    <w:p>
      <w:pPr>
        <w:spacing w:line="480" w:lineRule="exact"/>
        <w:rPr>
          <w:rFonts w:ascii="仿宋_GB2312" w:eastAsia="仿宋_GB2312"/>
          <w:sz w:val="24"/>
        </w:rPr>
      </w:pPr>
      <w:r>
        <w:rPr>
          <w:rFonts w:hint="eastAsia" w:ascii="仿宋_GB2312" w:eastAsia="仿宋_GB2312"/>
          <w:sz w:val="24"/>
        </w:rPr>
        <w:t>法定代表人：</w:t>
      </w:r>
    </w:p>
    <w:p>
      <w:pPr>
        <w:spacing w:line="480" w:lineRule="exact"/>
        <w:rPr>
          <w:rFonts w:ascii="仿宋_GB2312" w:eastAsia="仿宋_GB2312"/>
          <w:sz w:val="24"/>
        </w:rPr>
      </w:pPr>
      <w:r>
        <w:rPr>
          <w:rFonts w:hint="eastAsia" w:ascii="仿宋_GB2312" w:eastAsia="仿宋_GB2312"/>
          <w:sz w:val="24"/>
        </w:rPr>
        <w:t>（以下简称乙方）</w:t>
      </w:r>
    </w:p>
    <w:p>
      <w:pPr>
        <w:spacing w:line="480" w:lineRule="exact"/>
        <w:rPr>
          <w:rFonts w:ascii="仿宋_GB2312" w:eastAsia="仿宋_GB2312"/>
          <w:sz w:val="24"/>
        </w:rPr>
      </w:pPr>
    </w:p>
    <w:p>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pPr>
        <w:spacing w:line="460" w:lineRule="exact"/>
        <w:ind w:firstLine="480" w:firstLineChars="200"/>
        <w:rPr>
          <w:rFonts w:ascii="仿宋_GB2312" w:eastAsia="仿宋_GB2312"/>
          <w:sz w:val="24"/>
        </w:rPr>
      </w:pPr>
      <w:bookmarkStart w:id="7" w:name="OLE_LINK1"/>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总面积为：㎡（其中南区门店面积为 ㎡，北区门店面积为 ㎡），经营场地图纸作为合同附件。</w:t>
      </w:r>
    </w:p>
    <w:bookmarkEnd w:id="7"/>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规办理的营业执照主体具有一致性或关联性。乙方不得利用本合同项下甲方的资产以任何形式对外进行融资或设立担保，不得以甲方名义从事任何经营活动，不得将经营项目全部或部分转让给第三方。</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bookmarkStart w:id="8" w:name="OLE_LINK7"/>
      <w:r>
        <w:rPr>
          <w:rFonts w:hint="eastAsia" w:ascii="仿宋_GB2312" w:eastAsia="仿宋_GB2312"/>
          <w:sz w:val="24"/>
          <w:u w:val="single"/>
          <w:lang w:val="en-US" w:eastAsia="zh-CN"/>
        </w:rPr>
        <w:t xml:space="preserve">      </w:t>
      </w:r>
      <w:bookmarkEnd w:id="8"/>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pPr>
        <w:spacing w:line="460" w:lineRule="exact"/>
        <w:ind w:firstLine="480" w:firstLineChars="200"/>
        <w:rPr>
          <w:rFonts w:ascii="仿宋_GB2312" w:eastAsia="仿宋_GB2312"/>
          <w:sz w:val="24"/>
        </w:rPr>
      </w:pPr>
      <w:bookmarkStart w:id="9" w:name="OLE_LINK19"/>
      <w:r>
        <w:rPr>
          <w:rFonts w:hint="eastAsia" w:ascii="仿宋_GB2312" w:eastAsia="仿宋_GB2312"/>
          <w:sz w:val="24"/>
        </w:rPr>
        <w:t>合同期限自</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月  日起至</w:t>
      </w:r>
      <w:r>
        <w:rPr>
          <w:rFonts w:hint="eastAsia" w:ascii="仿宋_GB2312" w:eastAsia="仿宋_GB2312"/>
          <w:sz w:val="24"/>
          <w:lang w:val="en-US" w:eastAsia="zh-CN"/>
        </w:rPr>
        <w:t xml:space="preserve">    </w:t>
      </w:r>
      <w:r>
        <w:rPr>
          <w:rFonts w:hint="eastAsia" w:ascii="仿宋_GB2312" w:eastAsia="仿宋_GB2312"/>
          <w:sz w:val="24"/>
        </w:rPr>
        <w:t>年  月  日止（含装修期）。</w:t>
      </w:r>
    </w:p>
    <w:p>
      <w:pPr>
        <w:spacing w:line="460" w:lineRule="exact"/>
        <w:ind w:firstLine="480" w:firstLineChars="200"/>
        <w:rPr>
          <w:rFonts w:ascii="仿宋_GB2312" w:eastAsia="仿宋_GB2312"/>
          <w:sz w:val="24"/>
        </w:rPr>
      </w:pPr>
      <w:r>
        <w:rPr>
          <w:rFonts w:hint="eastAsia" w:ascii="仿宋_GB2312" w:eastAsia="仿宋_GB2312"/>
          <w:sz w:val="24"/>
        </w:rPr>
        <w:t>其中，</w:t>
      </w:r>
      <w:r>
        <w:rPr>
          <w:rFonts w:hint="eastAsia" w:ascii="仿宋_GB2312" w:eastAsia="仿宋_GB2312"/>
          <w:sz w:val="24"/>
          <w:lang w:val="en-US" w:eastAsia="zh-CN"/>
        </w:rPr>
        <w:t xml:space="preserve">       </w:t>
      </w:r>
      <w:r>
        <w:rPr>
          <w:rFonts w:hint="eastAsia" w:ascii="仿宋_GB2312" w:eastAsia="仿宋_GB2312"/>
          <w:sz w:val="24"/>
        </w:rPr>
        <w:t>年  月  日至</w:t>
      </w:r>
      <w:r>
        <w:rPr>
          <w:rFonts w:hint="eastAsia" w:ascii="仿宋_GB2312" w:eastAsia="仿宋_GB2312"/>
          <w:sz w:val="24"/>
          <w:lang w:val="en-US" w:eastAsia="zh-CN"/>
        </w:rPr>
        <w:t xml:space="preserve">       </w:t>
      </w:r>
      <w:r>
        <w:rPr>
          <w:rFonts w:hint="eastAsia" w:ascii="仿宋_GB2312" w:eastAsia="仿宋_GB2312"/>
          <w:sz w:val="24"/>
        </w:rPr>
        <w:t>年  月  日为装修期，供乙方进行装修、设备安装调试和其他营业准备工作，乙方无需支付经营管理费，乙方在装修期内提前开业的除外；装修期内产生的水、电等费用由乙方自行承担。</w:t>
      </w:r>
    </w:p>
    <w:bookmarkEnd w:id="9"/>
    <w:p>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如果乙方在装修期内开业，则装修期提前结束，开业日为经营管理费计算起始日，提前开业期间经营管理费不设保底，按实际经营天数计算（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固定经营管理费的5%折算；若乙方逾期开业超过15日的，甲方有权解除合同并要求乙方交还该物业，同时要求乙方支付第一个合同年度经营管理费标准1个月的固定经营管理费作为违约金。</w:t>
      </w:r>
    </w:p>
    <w:p>
      <w:pPr>
        <w:spacing w:after="31" w:line="460" w:lineRule="exact"/>
        <w:ind w:firstLine="480" w:firstLineChars="200"/>
        <w:rPr>
          <w:rFonts w:ascii="仿宋_GB2312" w:eastAsia="仿宋_GB2312"/>
          <w:sz w:val="24"/>
        </w:rPr>
      </w:pPr>
      <w:r>
        <w:rPr>
          <w:rFonts w:hint="eastAsia" w:ascii="仿宋_GB2312" w:eastAsia="仿宋_GB2312"/>
          <w:sz w:val="24"/>
        </w:rPr>
        <w:t>双方特别</w:t>
      </w:r>
      <w:r>
        <w:rPr>
          <w:rFonts w:hint="eastAsia" w:ascii="仿宋_GB2312" w:eastAsia="仿宋_GB2312"/>
          <w:sz w:val="24"/>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rPr>
        <w:t>1. 乙方应向甲方支付经营管理费，</w:t>
      </w:r>
      <w:bookmarkStart w:id="10" w:name="OLE_LINK33"/>
      <w:r>
        <w:rPr>
          <w:rFonts w:hint="eastAsia" w:ascii="仿宋_GB2312" w:hAnsi="宋体" w:eastAsia="仿宋_GB2312"/>
          <w:sz w:val="24"/>
          <w:lang w:val="en-US" w:eastAsia="zh-CN"/>
        </w:rPr>
        <w:t>经营管理费实行预付，每一合同年度的经营管理费按（年/半年/季度）支付。乙方应于本合同每（年/半年/季度）开始前七个工作日内支付经营管理费，合同期第一（年/半年/季度）在合同签订后十日内向甲方支付经营管理费共计</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万</w:t>
      </w:r>
      <w:r>
        <w:rPr>
          <w:rFonts w:hint="eastAsia" w:ascii="仿宋_GB2312" w:hAnsi="仿宋_GB2312" w:eastAsia="仿宋_GB2312" w:cs="仿宋_GB2312"/>
          <w:bCs/>
          <w:sz w:val="24"/>
          <w:lang w:val="en-US" w:eastAsia="zh-CN"/>
        </w:rPr>
        <w:t>元（大写：</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万</w:t>
      </w:r>
      <w:r>
        <w:rPr>
          <w:rFonts w:hint="eastAsia" w:ascii="仿宋_GB2312" w:hAnsi="仿宋_GB2312" w:eastAsia="仿宋_GB2312" w:cs="仿宋_GB2312"/>
          <w:bCs/>
          <w:sz w:val="24"/>
          <w:lang w:val="en-US" w:eastAsia="zh-CN"/>
        </w:rPr>
        <w:t>元）</w:t>
      </w:r>
      <w:r>
        <w:rPr>
          <w:rFonts w:hint="eastAsia" w:ascii="仿宋_GB2312" w:hAnsi="仿宋_GB2312" w:eastAsia="仿宋_GB2312" w:cs="仿宋_GB2312"/>
          <w:sz w:val="24"/>
        </w:rPr>
        <w:t>。</w:t>
      </w:r>
      <w:r>
        <w:rPr>
          <w:rFonts w:hint="eastAsia" w:ascii="仿宋_GB2312" w:hAnsi="宋体" w:eastAsia="仿宋_GB2312"/>
          <w:sz w:val="24"/>
          <w:lang w:val="en-GB"/>
        </w:rPr>
        <w:t>一个合同年度按365天计算。</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bookmarkEnd w:id="10"/>
    <w:tbl>
      <w:tblPr>
        <w:tblStyle w:val="9"/>
        <w:tblpPr w:leftFromText="180" w:rightFromText="180" w:vertAnchor="text" w:horzAnchor="margin" w:tblpXSpec="center" w:tblpY="13"/>
        <w:tblOverlap w:val="never"/>
        <w:tblW w:w="8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325"/>
        <w:gridCol w:w="1412"/>
        <w:gridCol w:w="143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47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32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41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58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47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bookmarkStart w:id="11" w:name="OLE_LINK34" w:colFirst="0" w:colLast="0"/>
            <w:r>
              <w:rPr>
                <w:rFonts w:hint="eastAsia" w:ascii="仿宋_GB2312" w:hAnsi="宋体" w:eastAsia="仿宋_GB2312"/>
                <w:sz w:val="24"/>
                <w:lang w:val="en-GB"/>
              </w:rPr>
              <w:t>固定经营管理费</w:t>
            </w:r>
          </w:p>
        </w:tc>
        <w:tc>
          <w:tcPr>
            <w:tcW w:w="132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bookmarkEnd w:id="11"/>
    </w:tbl>
    <w:p>
      <w:pPr>
        <w:snapToGrid w:val="0"/>
        <w:spacing w:line="460" w:lineRule="exact"/>
        <w:ind w:firstLine="480" w:firstLineChars="200"/>
        <w:rPr>
          <w:rFonts w:ascii="仿宋_GB2312" w:hAnsi="宋体" w:eastAsia="仿宋_GB2312"/>
          <w:sz w:val="24"/>
          <w:lang w:val="en-GB"/>
        </w:rPr>
      </w:pPr>
      <w:r>
        <w:rPr>
          <w:rFonts w:ascii="仿宋_GB2312" w:hAnsi="宋体" w:eastAsia="仿宋_GB2312"/>
          <w:sz w:val="24"/>
          <w:lang w:val="en-GB"/>
        </w:rPr>
        <w:t xml:space="preserve">2. </w:t>
      </w:r>
      <w:r>
        <w:rPr>
          <w:rFonts w:hint="eastAsia" w:ascii="仿宋_GB2312" w:hAnsi="宋体" w:eastAsia="仿宋_GB2312"/>
          <w:sz w:val="24"/>
          <w:lang w:val="en-GB"/>
        </w:rPr>
        <w:t>关于营业收入上报的要求：乙方必须将全部营业收入每日通过数据接入等形式接入</w:t>
      </w:r>
      <w:r>
        <w:rPr>
          <w:rFonts w:hint="eastAsia" w:ascii="仿宋_GB2312" w:hAnsi="宋体" w:eastAsia="仿宋_GB2312"/>
          <w:sz w:val="24"/>
          <w:lang w:val="en-US" w:eastAsia="zh-CN"/>
        </w:rPr>
        <w:t>浙江商业集团收银</w:t>
      </w:r>
      <w:r>
        <w:rPr>
          <w:rFonts w:hint="eastAsia" w:ascii="仿宋_GB2312" w:hAnsi="宋体" w:eastAsia="仿宋_GB2312"/>
          <w:sz w:val="24"/>
          <w:lang w:val="en-GB"/>
        </w:rPr>
        <w:t>系统，因此而产生的全部费用由乙方承担，乙方服从甲方收银稽核相关管理要求，乙方的营业收入必须按照要求全部如实接入</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，如发现乙方未按要求执行，乙方应按【】元/次缴纳违约金并由甲方从履约保证金扣除；一个合同年度内如发现乙方累计有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次以上该违约情形的，甲方有权单方解除合同并将乙方列入黑名单，取消乙方进驻浙江省商业集团有限公司下属服务区经营的资格。后期如遇甲方收银模式调整，乙方需予以配合执行。</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US" w:eastAsia="zh-CN"/>
        </w:rPr>
        <w:t>3</w:t>
      </w:r>
      <w:r>
        <w:rPr>
          <w:rFonts w:hint="eastAsia" w:ascii="仿宋_GB2312" w:hAnsi="宋体" w:eastAsia="仿宋_GB2312"/>
          <w:sz w:val="24"/>
          <w:lang w:val="en-GB"/>
        </w:rPr>
        <w:t>.</w:t>
      </w:r>
      <w:r>
        <w:rPr>
          <w:rFonts w:hint="eastAsia" w:ascii="仿宋_GB2312" w:hAnsi="宋体" w:eastAsia="仿宋_GB2312"/>
          <w:sz w:val="24"/>
          <w:lang w:val="en-US" w:eastAsia="zh-CN"/>
        </w:rPr>
        <w:t xml:space="preserve"> </w:t>
      </w: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六、能源管理费及物业管理费</w:t>
      </w:r>
    </w:p>
    <w:p>
      <w:pPr>
        <w:spacing w:line="460" w:lineRule="exact"/>
        <w:ind w:firstLine="480" w:firstLineChars="200"/>
        <w:rPr>
          <w:rFonts w:ascii="仿宋_GB2312" w:eastAsia="仿宋_GB2312"/>
          <w:sz w:val="24"/>
        </w:rPr>
      </w:pPr>
      <w:r>
        <w:rPr>
          <w:rFonts w:hint="eastAsia" w:ascii="仿宋_GB2312" w:eastAsia="仿宋_GB2312"/>
          <w:sz w:val="24"/>
        </w:rPr>
        <w:t>（一）能源管理费</w:t>
      </w:r>
    </w:p>
    <w:p>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pPr>
        <w:spacing w:line="460" w:lineRule="exact"/>
        <w:ind w:firstLine="480" w:firstLineChars="200"/>
        <w:rPr>
          <w:rFonts w:hint="eastAsia" w:ascii="仿宋_GB2312" w:eastAsia="仿宋_GB2312"/>
          <w:sz w:val="24"/>
        </w:rPr>
      </w:pPr>
      <w:bookmarkStart w:id="12" w:name="OLE_LINK25"/>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bookmarkEnd w:id="12"/>
    </w:p>
    <w:p>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需及时支付垫付的款项。本合同项下的相关部门，是指为租赁场地供应水、电、燃气等能源并收取相关能源费用的机构和单位。</w:t>
      </w:r>
    </w:p>
    <w:p>
      <w:pPr>
        <w:numPr>
          <w:ilvl w:val="0"/>
          <w:numId w:val="1"/>
        </w:numPr>
        <w:spacing w:line="460" w:lineRule="exact"/>
        <w:ind w:firstLine="480" w:firstLineChars="200"/>
        <w:rPr>
          <w:rFonts w:ascii="仿宋_GB2312" w:eastAsia="仿宋_GB2312"/>
          <w:sz w:val="24"/>
        </w:rPr>
      </w:pPr>
      <w:r>
        <w:rPr>
          <w:rFonts w:hint="eastAsia" w:ascii="仿宋_GB2312" w:eastAsia="仿宋_GB2312"/>
          <w:sz w:val="24"/>
        </w:rPr>
        <w:t>物业管理费</w:t>
      </w:r>
    </w:p>
    <w:p>
      <w:pPr>
        <w:numPr>
          <w:ilvl w:val="255"/>
          <w:numId w:val="0"/>
        </w:numPr>
        <w:spacing w:line="460" w:lineRule="exact"/>
        <w:ind w:firstLine="480" w:firstLineChars="200"/>
        <w:rPr>
          <w:rFonts w:ascii="仿宋_GB2312" w:eastAsia="仿宋_GB2312"/>
          <w:sz w:val="24"/>
        </w:rPr>
      </w:pPr>
      <w:bookmarkStart w:id="13" w:name="OLE_LINK26"/>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hint="eastAsia" w:ascii="仿宋_GB2312" w:hAnsi="宋体" w:eastAsia="仿宋_GB2312"/>
          <w:sz w:val="24"/>
          <w:lang w:val="en-GB"/>
        </w:rPr>
        <w:t>【】</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平方米/月。甲方有权因该场地物业管理成本变化而经书面通知乙方后统一调整物业管理费的收费标准以维持该场地的管理水准，但以不违反政府有关规定为限度。</w:t>
      </w:r>
    </w:p>
    <w:bookmarkEnd w:id="13"/>
    <w:p>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能源管理费和物业管理费由甲方按</w:t>
      </w:r>
      <w:r>
        <w:rPr>
          <w:rFonts w:hint="eastAsia" w:ascii="仿宋_GB2312" w:hAnsi="宋体" w:eastAsia="仿宋_GB2312"/>
          <w:sz w:val="24"/>
          <w:highlight w:val="none"/>
          <w:u w:val="single"/>
        </w:rPr>
        <w:t>月</w:t>
      </w:r>
      <w:r>
        <w:rPr>
          <w:rFonts w:hint="eastAsia" w:ascii="仿宋_GB2312" w:hAnsi="宋体" w:eastAsia="仿宋_GB2312"/>
          <w:sz w:val="24"/>
          <w:highlight w:val="none"/>
        </w:rPr>
        <w:t>向乙方收取，乙方应于收到甲方通知后的</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个工作日内支付。</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color w:val="auto"/>
          <w:sz w:val="24"/>
        </w:rPr>
        <w:t>乙方应在本合同签署前</w:t>
      </w:r>
      <w:r>
        <w:rPr>
          <w:rFonts w:hint="eastAsia" w:ascii="仿宋_GB2312" w:eastAsia="仿宋_GB2312"/>
          <w:color w:val="auto"/>
          <w:sz w:val="24"/>
          <w:lang w:val="en-US" w:eastAsia="zh-CN"/>
        </w:rPr>
        <w:t>5个工作日</w:t>
      </w:r>
      <w:r>
        <w:rPr>
          <w:rFonts w:hint="eastAsia" w:ascii="仿宋_GB2312" w:eastAsia="仿宋_GB2312"/>
          <w:color w:val="auto"/>
          <w:sz w:val="24"/>
        </w:rPr>
        <w:t>向甲方一次性支付履约保证金合计为人民币</w:t>
      </w:r>
      <w:r>
        <w:rPr>
          <w:rFonts w:hint="eastAsia" w:ascii="仿宋_GB2312" w:hAnsi="宋体" w:eastAsia="仿宋_GB2312"/>
          <w:color w:val="auto"/>
          <w:sz w:val="24"/>
          <w:lang w:val="en-GB"/>
        </w:rPr>
        <w:t>【】</w:t>
      </w:r>
      <w:r>
        <w:rPr>
          <w:rFonts w:hint="eastAsia" w:ascii="仿宋_GB2312" w:eastAsia="仿宋_GB2312"/>
          <w:color w:val="auto"/>
          <w:sz w:val="24"/>
        </w:rPr>
        <w:t>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乙方</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color w:val="auto"/>
          <w:sz w:val="24"/>
        </w:rPr>
        <w:t>，对本合</w:t>
      </w:r>
      <w:r>
        <w:rPr>
          <w:rFonts w:hint="eastAsia" w:ascii="仿宋_GB2312" w:eastAsia="仿宋_GB2312"/>
          <w:sz w:val="24"/>
        </w:rPr>
        <w:t>同履行过程中的事项，包括但不限于：经营管理费、服务质量、设施损坏、人身损害、甲方代收代缴费用、税款、违约赔偿金等进行担保。</w:t>
      </w:r>
    </w:p>
    <w:p>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五日内将有关保单及已付保费凭证等证明文件呈交甲方审核备案。同时，该等保险应当在合同期限内持续有效。</w:t>
      </w:r>
    </w:p>
    <w:p>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C00000"/>
          <w:sz w:val="24"/>
          <w:lang w:val="en-US" w:eastAsia="zh-CN"/>
        </w:rPr>
        <w:t>3</w:t>
      </w:r>
      <w:r>
        <w:rPr>
          <w:rFonts w:hint="eastAsia" w:ascii="仿宋_GB2312" w:hAnsi="宋体" w:eastAsia="仿宋_GB2312"/>
          <w:color w:val="C00000"/>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pPr>
        <w:spacing w:line="460" w:lineRule="exact"/>
        <w:ind w:firstLine="480" w:firstLineChars="200"/>
        <w:rPr>
          <w:rFonts w:ascii="仿宋_GB2312" w:eastAsia="仿宋_GB2312"/>
          <w:sz w:val="24"/>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w:t>
      </w:r>
      <w:r>
        <w:rPr>
          <w:rFonts w:hint="eastAsia" w:ascii="仿宋_GB2312" w:eastAsia="仿宋_GB2312"/>
          <w:color w:val="auto"/>
          <w:sz w:val="24"/>
          <w:szCs w:val="24"/>
          <w:lang w:val="en-US" w:eastAsia="zh-CN"/>
        </w:rPr>
        <w:t>乙方及其分支单位</w:t>
      </w:r>
      <w:r>
        <w:rPr>
          <w:rFonts w:hint="eastAsia" w:ascii="仿宋_GB2312" w:eastAsia="仿宋_GB2312"/>
          <w:color w:val="auto"/>
          <w:sz w:val="24"/>
          <w:szCs w:val="24"/>
        </w:rPr>
        <w:t>在</w:t>
      </w:r>
      <w:r>
        <w:rPr>
          <w:rFonts w:hint="eastAsia" w:ascii="仿宋_GB2312" w:eastAsia="仿宋_GB2312"/>
          <w:color w:val="auto"/>
          <w:sz w:val="24"/>
          <w:szCs w:val="24"/>
          <w:lang w:val="en-US" w:eastAsia="zh-CN"/>
        </w:rPr>
        <w:t>甲方</w:t>
      </w:r>
      <w:r>
        <w:rPr>
          <w:rFonts w:hint="eastAsia" w:ascii="仿宋_GB2312" w:eastAsia="仿宋_GB2312"/>
          <w:color w:val="auto"/>
          <w:sz w:val="24"/>
          <w:szCs w:val="24"/>
        </w:rPr>
        <w:t>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（13）乙方在本合同履行期间未经甲方同意，转租给其第三方或用</w:t>
      </w:r>
      <w:r>
        <w:rPr>
          <w:rFonts w:hint="eastAsia" w:ascii="仿宋_GB2312" w:eastAsia="仿宋_GB2312"/>
          <w:sz w:val="24"/>
          <w:lang w:val="en-US" w:eastAsia="zh-CN"/>
        </w:rPr>
        <w:t>其他</w:t>
      </w:r>
      <w:r>
        <w:rPr>
          <w:rFonts w:hint="eastAsia" w:ascii="仿宋_GB2312" w:eastAsia="仿宋_GB2312"/>
          <w:sz w:val="24"/>
        </w:rPr>
        <w:t>手段与第三方共同经营时</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p>
    <w:p>
      <w:pPr>
        <w:widowControl/>
        <w:spacing w:line="460" w:lineRule="exact"/>
        <w:ind w:firstLine="420" w:firstLineChars="200"/>
        <w:rPr>
          <w:rFonts w:hint="eastAsia" w:ascii="仿宋_GB2312" w:eastAsia="仿宋_GB2312"/>
          <w:sz w:val="24"/>
          <w:lang w:eastAsia="zh-CN"/>
        </w:rPr>
      </w:pPr>
      <w:r>
        <w:rPr>
          <w:rFonts w:hint="eastAsia"/>
          <w:lang w:val="en-US" w:eastAsia="zh-CN"/>
        </w:rPr>
        <w:t xml:space="preserve"> </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w:t>
      </w:r>
      <w:r>
        <w:rPr>
          <w:rFonts w:hint="eastAsia" w:ascii="仿宋_GB2312" w:eastAsia="仿宋_GB2312"/>
          <w:color w:val="auto"/>
          <w:sz w:val="24"/>
          <w:szCs w:val="24"/>
          <w:lang w:val="en-US" w:eastAsia="zh-CN"/>
        </w:rPr>
        <w:t>招商文件及本</w:t>
      </w:r>
      <w:r>
        <w:rPr>
          <w:rFonts w:hint="eastAsia" w:ascii="仿宋_GB2312" w:eastAsia="仿宋_GB2312"/>
          <w:color w:val="auto"/>
          <w:sz w:val="24"/>
          <w:szCs w:val="24"/>
        </w:rPr>
        <w:t>合同注明的应纳入黑名单制度的情况。</w:t>
      </w:r>
    </w:p>
    <w:p>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3.因甲方或上级单位发展战略调整、政府行为等原因需提前与乙方解除合同的，甲方可经提前一个月书面通知乙方解除本合同。</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4．</w:t>
      </w:r>
      <w:r>
        <w:rPr>
          <w:rFonts w:hint="eastAsia" w:ascii="仿宋_GB2312" w:eastAsia="仿宋_GB2312"/>
          <w:b w:val="0"/>
          <w:bCs/>
          <w:sz w:val="24"/>
          <w:highlight w:val="none"/>
        </w:rPr>
        <w:t>乙方</w:t>
      </w:r>
      <w:r>
        <w:rPr>
          <w:rFonts w:hint="eastAsia" w:ascii="仿宋_GB2312" w:eastAsia="仿宋_GB2312"/>
          <w:b w:val="0"/>
          <w:bCs/>
          <w:color w:val="auto"/>
          <w:sz w:val="24"/>
          <w:szCs w:val="24"/>
          <w:highlight w:val="none"/>
        </w:rPr>
        <w:t>经营项目经营满6个月、且提前3个月提出退场（或愿意缴纳3个月经营管理费等）的，允许其正常退场。对于实际经营满6个月、</w:t>
      </w:r>
      <w:r>
        <w:rPr>
          <w:rFonts w:hint="eastAsia" w:ascii="仿宋_GB2312" w:eastAsia="仿宋_GB2312"/>
          <w:b w:val="0"/>
          <w:bCs/>
          <w:sz w:val="24"/>
          <w:highlight w:val="none"/>
        </w:rPr>
        <w:t>且已提前3个月向甲方提交书面申请</w:t>
      </w:r>
      <w:r>
        <w:rPr>
          <w:rFonts w:hint="eastAsia" w:ascii="仿宋_GB2312" w:eastAsia="仿宋_GB2312"/>
          <w:b w:val="0"/>
          <w:bCs/>
          <w:sz w:val="24"/>
          <w:highlight w:val="none"/>
          <w:lang w:eastAsia="zh-CN"/>
        </w:rPr>
        <w:t>（</w:t>
      </w:r>
      <w:r>
        <w:rPr>
          <w:rFonts w:hint="eastAsia" w:ascii="仿宋_GB2312" w:eastAsia="仿宋_GB2312"/>
          <w:b w:val="0"/>
          <w:bCs/>
          <w:color w:val="auto"/>
          <w:sz w:val="24"/>
          <w:szCs w:val="24"/>
          <w:highlight w:val="none"/>
        </w:rPr>
        <w:t>或愿意缴纳3个月经营管理费等</w:t>
      </w:r>
      <w:r>
        <w:rPr>
          <w:rFonts w:hint="eastAsia" w:ascii="仿宋_GB2312" w:eastAsia="仿宋_GB2312"/>
          <w:b w:val="0"/>
          <w:bCs/>
          <w:sz w:val="24"/>
          <w:highlight w:val="none"/>
          <w:lang w:eastAsia="zh-CN"/>
        </w:rPr>
        <w:t>）</w:t>
      </w:r>
      <w:r>
        <w:rPr>
          <w:rFonts w:hint="eastAsia" w:ascii="仿宋_GB2312" w:eastAsia="仿宋_GB2312"/>
          <w:b w:val="0"/>
          <w:bCs/>
          <w:sz w:val="24"/>
          <w:highlight w:val="none"/>
          <w:lang w:val="en-US" w:eastAsia="zh-CN"/>
        </w:rPr>
        <w:t>的项目</w:t>
      </w:r>
      <w:r>
        <w:rPr>
          <w:rFonts w:hint="eastAsia" w:ascii="仿宋_GB2312" w:eastAsia="仿宋_GB2312"/>
          <w:b w:val="0"/>
          <w:bCs/>
          <w:sz w:val="24"/>
          <w:highlight w:val="none"/>
        </w:rPr>
        <w:t>，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固定</w:t>
      </w:r>
      <w:r>
        <w:rPr>
          <w:rFonts w:hint="eastAsia" w:ascii="仿宋_GB2312" w:hAnsi="宋体" w:eastAsia="仿宋_GB2312"/>
          <w:sz w:val="24"/>
        </w:rPr>
        <w:t>经营管理费的双倍支付甲方违约金，且甲方有权直接从履约保证金中扣除相应款项。</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pPr>
        <w:numPr>
          <w:ilvl w:val="0"/>
          <w:numId w:val="2"/>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w:t>
      </w:r>
      <w:r>
        <w:rPr>
          <w:rFonts w:hint="eastAsia" w:ascii="仿宋_GB2312" w:eastAsia="仿宋_GB2312"/>
          <w:sz w:val="24"/>
          <w:u w:val="single"/>
        </w:rPr>
        <w:t>3</w:t>
      </w:r>
      <w:r>
        <w:rPr>
          <w:rFonts w:hint="eastAsia" w:ascii="仿宋_GB2312" w:eastAsia="仿宋_GB2312"/>
          <w:sz w:val="24"/>
        </w:rPr>
        <w:t>日内将该租赁场地连同其所有的附属物、装置、附加物，恢复至符合本合同约定的交付条件之状态并交还甲方，由此发生的费用由乙方承担。</w:t>
      </w:r>
    </w:p>
    <w:p>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固定</w:t>
      </w:r>
      <w:r>
        <w:rPr>
          <w:rFonts w:hint="eastAsia" w:ascii="仿宋_GB2312" w:eastAsia="仿宋_GB2312"/>
          <w:sz w:val="24"/>
        </w:rPr>
        <w:t>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pPr>
        <w:spacing w:line="460" w:lineRule="exact"/>
        <w:ind w:firstLine="480" w:firstLineChars="200"/>
        <w:rPr>
          <w:rFonts w:ascii="仿宋_GB2312" w:eastAsia="仿宋_GB2312"/>
          <w:sz w:val="24"/>
        </w:rPr>
      </w:pPr>
      <w:r>
        <w:rPr>
          <w:rFonts w:hint="eastAsia" w:ascii="仿宋_GB2312" w:eastAsia="仿宋_GB2312"/>
          <w:sz w:val="24"/>
        </w:rPr>
        <w:t>指定联系人：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pPr>
        <w:spacing w:line="460" w:lineRule="exact"/>
        <w:ind w:firstLine="480" w:firstLineChars="200"/>
        <w:rPr>
          <w:rFonts w:ascii="仿宋_GB2312" w:eastAsia="仿宋_GB2312"/>
          <w:sz w:val="24"/>
        </w:rPr>
      </w:pPr>
      <w:r>
        <w:rPr>
          <w:rFonts w:hint="eastAsia" w:ascii="仿宋_GB2312" w:eastAsia="仿宋_GB2312"/>
          <w:sz w:val="24"/>
        </w:rPr>
        <w:t>乙方地址</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eastAsia="仿宋_GB2312"/>
          <w:sz w:val="24"/>
          <w:lang w:eastAsia="zh-CN"/>
        </w:rPr>
        <w:t>：</w:t>
      </w:r>
      <w:r>
        <w:rPr>
          <w:rFonts w:hint="eastAsia" w:ascii="仿宋_GB2312" w:eastAsia="仿宋_GB2312"/>
          <w:sz w:val="24"/>
        </w:rPr>
        <w:t xml:space="preserve">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电子邮箱：</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pPr>
        <w:spacing w:line="460" w:lineRule="exact"/>
        <w:ind w:firstLine="480" w:firstLineChars="200"/>
        <w:rPr>
          <w:rFonts w:ascii="仿宋_GB2312" w:eastAsia="仿宋_GB2312"/>
          <w:sz w:val="24"/>
        </w:rPr>
      </w:pPr>
      <w:r>
        <w:rPr>
          <w:rFonts w:hint="eastAsia" w:ascii="仿宋_GB2312" w:eastAsia="仿宋_GB2312"/>
          <w:sz w:val="24"/>
        </w:rPr>
        <w:t>1. 本合同一式</w:t>
      </w:r>
      <w:r>
        <w:rPr>
          <w:rFonts w:hint="eastAsia" w:ascii="仿宋_GB2312" w:eastAsia="仿宋_GB2312"/>
          <w:sz w:val="24"/>
          <w:lang w:val="en-US" w:eastAsia="zh-CN"/>
        </w:rPr>
        <w:t>四</w:t>
      </w:r>
      <w:r>
        <w:rPr>
          <w:rFonts w:hint="eastAsia" w:ascii="仿宋_GB2312" w:eastAsia="仿宋_GB2312"/>
          <w:sz w:val="24"/>
        </w:rPr>
        <w:t>份，甲、乙双方各执两份，每份具有同等法律效力。</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pPr>
        <w:adjustRightInd w:val="0"/>
        <w:snapToGrid w:val="0"/>
        <w:spacing w:line="360" w:lineRule="auto"/>
        <w:rPr>
          <w:rFonts w:ascii="宋体" w:hAnsi="宋体"/>
          <w:sz w:val="24"/>
          <w:lang w:val="en-GB"/>
        </w:rPr>
      </w:pPr>
      <w:r>
        <w:rPr>
          <w:rFonts w:hint="eastAsia" w:ascii="仿宋_GB2312" w:hAnsi="宋体" w:eastAsia="仿宋_GB2312"/>
          <w:sz w:val="24"/>
          <w:lang w:val="en-GB"/>
        </w:rPr>
        <w:t>（以下无正文）</w:t>
      </w:r>
    </w:p>
    <w:p>
      <w:pPr>
        <w:spacing w:line="480" w:lineRule="exact"/>
        <w:rPr>
          <w:rFonts w:ascii="仿宋_GB2312" w:hAnsi="宋体" w:eastAsia="仿宋_GB2312"/>
          <w:sz w:val="24"/>
          <w:lang w:val="en-GB"/>
        </w:rPr>
      </w:pPr>
      <w:bookmarkStart w:id="14" w:name="OLE_LINK28"/>
      <w:r>
        <w:rPr>
          <w:rFonts w:hint="eastAsia" w:ascii="仿宋_GB2312" w:hAnsi="宋体" w:eastAsia="仿宋_GB2312"/>
          <w:sz w:val="24"/>
          <w:lang w:val="en-GB"/>
        </w:rPr>
        <w:t>甲方：</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bookmarkEnd w:id="14"/>
    <w:p>
      <w:pPr>
        <w:adjustRightInd w:val="0"/>
        <w:snapToGrid w:val="0"/>
        <w:spacing w:line="360" w:lineRule="auto"/>
        <w:rPr>
          <w:rFonts w:ascii="仿宋_GB2312" w:hAnsi="宋体" w:eastAsia="仿宋_GB2312"/>
          <w:sz w:val="24"/>
          <w:lang w:val="en-GB"/>
        </w:rPr>
      </w:pP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乙方：法定代表人（或授权代表）：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pPr>
        <w:widowControl/>
        <w:jc w:val="left"/>
        <w:rPr>
          <w:rFonts w:ascii="仿宋_GB2312" w:hAnsi="宋体" w:eastAsia="仿宋_GB2312"/>
          <w:sz w:val="24"/>
          <w:lang w:val="en-GB"/>
        </w:rPr>
      </w:pP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pPr>
        <w:snapToGrid w:val="0"/>
        <w:spacing w:line="460" w:lineRule="exact"/>
        <w:rPr>
          <w:rFonts w:ascii="仿宋_GB2312" w:hAnsi="宋体" w:eastAsia="仿宋_GB2312"/>
          <w:sz w:val="24"/>
          <w:highlight w:val="yellow"/>
        </w:rPr>
      </w:pPr>
      <w:r>
        <w:rPr>
          <w:rFonts w:hint="eastAsia" w:ascii="仿宋_GB2312" w:hAnsi="宋体" w:eastAsia="仿宋_GB2312"/>
          <w:sz w:val="24"/>
        </w:rPr>
        <w:t>4</w:t>
      </w:r>
      <w:r>
        <w:rPr>
          <w:rFonts w:hint="eastAsia" w:ascii="仿宋_GB2312" w:hAnsi="宋体" w:eastAsia="仿宋_GB2312"/>
          <w:sz w:val="24"/>
          <w:lang w:val="en-GB"/>
        </w:rPr>
        <w:t>.</w:t>
      </w:r>
      <w:r>
        <w:rPr>
          <w:rFonts w:hint="eastAsia" w:ascii="仿宋_GB2312" w:hAnsi="宋体" w:eastAsia="仿宋_GB2312"/>
          <w:sz w:val="24"/>
        </w:rPr>
        <w:t xml:space="preserve"> 承诺函</w:t>
      </w:r>
    </w:p>
    <w:p>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pPr>
        <w:snapToGrid w:val="0"/>
        <w:spacing w:line="460" w:lineRule="exact"/>
        <w:rPr>
          <w:rFonts w:ascii="仿宋_GB2312" w:hAnsi="宋体" w:eastAsia="仿宋_GB2312"/>
          <w:color w:val="C00000"/>
          <w:sz w:val="24"/>
          <w:highlight w:val="none"/>
        </w:rPr>
      </w:pPr>
      <w:r>
        <w:rPr>
          <w:rFonts w:hint="eastAsia" w:ascii="仿宋_GB2312" w:hAnsi="宋体" w:eastAsia="仿宋_GB2312"/>
          <w:color w:val="C00000"/>
          <w:sz w:val="24"/>
          <w:highlight w:val="none"/>
        </w:rPr>
        <w:t>6. 项目产品清单</w:t>
      </w:r>
    </w:p>
    <w:p>
      <w:pPr>
        <w:rPr>
          <w:rFonts w:ascii="仿宋_GB2312" w:hAnsi="宋体" w:eastAsia="仿宋_GB2312"/>
          <w:sz w:val="24"/>
        </w:rPr>
      </w:pPr>
      <w:r>
        <w:rPr>
          <w:rFonts w:hint="eastAsia"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15" w:name="_Hlk101977439"/>
      <w:r>
        <w:rPr>
          <w:rFonts w:hint="eastAsia" w:asciiTheme="majorEastAsia" w:hAnsiTheme="majorEastAsia" w:eastAsiaTheme="majorEastAsia"/>
          <w:b/>
          <w:sz w:val="32"/>
          <w:lang w:val="en-GB"/>
        </w:rPr>
        <w:t>附件1：经营场地图纸</w:t>
      </w:r>
    </w:p>
    <w:p>
      <w:pPr>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r>
        <w:rPr>
          <w:rFonts w:ascii="仿宋_GB2312" w:hAnsi="宋体" w:eastAsia="仿宋_GB2312"/>
          <w:sz w:val="24"/>
          <w:lang w:val="en-GB"/>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pPr>
        <w:snapToGrid w:val="0"/>
        <w:spacing w:line="460" w:lineRule="exact"/>
        <w:ind w:firstLine="480" w:firstLineChars="200"/>
        <w:rPr>
          <w:rFonts w:ascii="仿宋" w:hAnsi="仿宋" w:eastAsia="仿宋" w:cs="仿宋_GB2312"/>
          <w:color w:val="000000"/>
          <w:sz w:val="24"/>
        </w:rPr>
      </w:pPr>
    </w:p>
    <w:p>
      <w:pPr>
        <w:snapToGrid w:val="0"/>
        <w:spacing w:line="460" w:lineRule="exact"/>
        <w:ind w:firstLine="480" w:firstLineChars="200"/>
        <w:rPr>
          <w:rFonts w:ascii="仿宋" w:hAnsi="仿宋" w:eastAsia="仿宋" w:cs="仿宋_GB2312"/>
          <w:color w:val="000000"/>
          <w:sz w:val="24"/>
        </w:rPr>
      </w:pPr>
      <w:bookmarkStart w:id="16" w:name="OLE_LINK29"/>
      <w:r>
        <w:rPr>
          <w:rFonts w:hint="eastAsia" w:ascii="仿宋" w:hAnsi="仿宋" w:eastAsia="仿宋" w:cs="仿宋_GB2312"/>
          <w:color w:val="000000"/>
          <w:sz w:val="24"/>
        </w:rPr>
        <w:t>甲方：</w:t>
      </w:r>
      <w:bookmarkStart w:id="17" w:name="OLE_LINK9"/>
    </w:p>
    <w:bookmarkEnd w:id="17"/>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 xml:space="preserve">负责人： </w:t>
      </w:r>
    </w:p>
    <w:p>
      <w:pPr>
        <w:snapToGrid w:val="0"/>
        <w:spacing w:line="460" w:lineRule="exact"/>
        <w:ind w:firstLine="480" w:firstLineChars="200"/>
        <w:rPr>
          <w:rFonts w:ascii="仿宋" w:hAnsi="仿宋" w:eastAsia="仿宋" w:cs="仿宋_GB2312"/>
          <w:color w:val="000000"/>
          <w:sz w:val="24"/>
        </w:rPr>
      </w:pPr>
    </w:p>
    <w:bookmarkEnd w:id="16"/>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 xml:space="preserve">乙方： </w:t>
      </w:r>
    </w:p>
    <w:p>
      <w:pPr>
        <w:spacing w:line="48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r>
        <w:rPr>
          <w:rFonts w:hint="eastAsia" w:ascii="仿宋" w:hAnsi="仿宋" w:eastAsia="仿宋"/>
          <w:sz w:val="24"/>
        </w:rPr>
        <w:t>：</w:t>
      </w:r>
    </w:p>
    <w:p>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pPr>
        <w:snapToGrid/>
        <w:spacing w:line="460" w:lineRule="exact"/>
        <w:ind w:firstLine="480" w:firstLineChars="200"/>
        <w:rPr>
          <w:rFonts w:hint="eastAsia" w:ascii="黑体" w:hAnsi="黑体" w:eastAsia="黑体" w:cs="黑体"/>
          <w:bCs/>
          <w:color w:val="auto"/>
          <w:sz w:val="24"/>
        </w:rPr>
      </w:pPr>
      <w:bookmarkStart w:id="18" w:name="OLE_LINK30"/>
      <w:r>
        <w:rPr>
          <w:rFonts w:hint="eastAsia" w:ascii="黑体" w:hAnsi="黑体" w:eastAsia="黑体" w:cs="黑体"/>
          <w:bCs/>
          <w:color w:val="auto"/>
          <w:sz w:val="24"/>
        </w:rPr>
        <w:t>一、</w:t>
      </w:r>
      <w:r>
        <w:rPr>
          <w:rFonts w:hint="eastAsia" w:ascii="黑体" w:hAnsi="黑体" w:eastAsia="黑体" w:cs="黑体"/>
          <w:bCs/>
          <w:sz w:val="24"/>
        </w:rPr>
        <w:t>甲方位于_____高速公路____服务区</w:t>
      </w:r>
      <w:r>
        <w:rPr>
          <w:rFonts w:hint="eastAsia" w:ascii="黑体" w:hAnsi="黑体" w:eastAsia="黑体" w:cs="黑体"/>
          <w:bCs/>
          <w:sz w:val="24"/>
          <w:u w:val="none"/>
        </w:rPr>
        <w:t xml:space="preserve">        </w:t>
      </w:r>
      <w:r>
        <w:rPr>
          <w:rFonts w:hint="eastAsia" w:ascii="黑体" w:hAnsi="黑体" w:eastAsia="黑体" w:cs="黑体"/>
          <w:bCs/>
          <w:sz w:val="24"/>
        </w:rPr>
        <w:t>项目由乙方负责经营</w:t>
      </w:r>
      <w:r>
        <w:rPr>
          <w:rFonts w:hint="eastAsia" w:ascii="黑体" w:hAnsi="黑体" w:eastAsia="黑体" w:cs="黑体"/>
          <w:bCs/>
          <w:color w:val="auto"/>
          <w:sz w:val="24"/>
        </w:rPr>
        <w:t>。</w:t>
      </w:r>
      <w:bookmarkEnd w:id="18"/>
    </w:p>
    <w:p>
      <w:pPr>
        <w:spacing w:line="460" w:lineRule="exact"/>
        <w:ind w:left="0" w:firstLine="480" w:firstLineChars="200"/>
        <w:rPr>
          <w:rFonts w:hint="eastAsia" w:ascii="黑体" w:hAnsi="黑体" w:eastAsia="黑体" w:cs="黑体"/>
          <w:bCs/>
          <w:color w:val="auto"/>
          <w:sz w:val="24"/>
        </w:rPr>
      </w:pPr>
      <w:r>
        <w:rPr>
          <w:rFonts w:hint="eastAsia" w:ascii="黑体" w:hAnsi="黑体" w:eastAsia="黑体" w:cs="黑体"/>
          <w:bCs/>
          <w:color w:val="auto"/>
          <w:sz w:val="24"/>
        </w:rPr>
        <w:t>二、甲方的安全管理职责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（一）职责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（二）权利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pPr>
        <w:autoSpaceDE/>
        <w:autoSpaceDN/>
        <w:adjustRightInd/>
        <w:spacing w:line="46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三</w:t>
      </w:r>
      <w:r>
        <w:rPr>
          <w:rFonts w:hint="eastAsia" w:ascii="黑体" w:hAnsi="黑体" w:eastAsia="黑体" w:cs="黑体"/>
          <w:bCs/>
          <w:color w:val="auto"/>
          <w:sz w:val="24"/>
        </w:rPr>
        <w:t>、乙方的安全管理职责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（一）职责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5、凡涉及特种设备的，应取得相应的检验检测合格证书后，方可投入生产经营，设备和作业人员按规定参加检验和验证。</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sz w:val="24"/>
          <w:lang w:val="zh-CN"/>
        </w:rPr>
        <w:t>6、在生产经营中采用新技术、新工艺、新设备、新材料时，必须制定相应的安全技术措施。</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fill="auto"/>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highlight w:val="none"/>
          <w:lang w:val="zh-CN"/>
        </w:rPr>
        <w:t>，</w:t>
      </w:r>
      <w:r>
        <w:rPr>
          <w:rFonts w:hint="eastAsia" w:ascii="仿宋" w:hAnsi="仿宋" w:eastAsia="仿宋" w:cs="仿宋_GB2312"/>
          <w:sz w:val="24"/>
          <w:highlight w:val="none"/>
          <w:lang w:val="zh-CN"/>
        </w:rPr>
        <w:t>职工身体状况均必须满足国家、行业健康标准要求。</w:t>
      </w:r>
      <w:r>
        <w:rPr>
          <w:rFonts w:hint="eastAsia" w:ascii="仿宋" w:hAnsi="仿宋" w:eastAsia="仿宋" w:cs="仿宋_GB2312"/>
          <w:sz w:val="24"/>
          <w:lang w:val="zh-CN"/>
        </w:rPr>
        <w:t>新员工未经安全教育和培训，不得上岗。</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（二）权利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pPr>
        <w:spacing w:line="500" w:lineRule="exact"/>
        <w:ind w:firstLine="600" w:firstLineChars="25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pPr>
        <w:spacing w:line="46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四</w:t>
      </w:r>
      <w:r>
        <w:rPr>
          <w:rFonts w:hint="eastAsia" w:ascii="黑体" w:hAnsi="黑体" w:eastAsia="黑体" w:cs="黑体"/>
          <w:bCs/>
          <w:color w:val="auto"/>
          <w:sz w:val="24"/>
        </w:rPr>
        <w:t>、其他条款</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（一）履约保证金条款</w:t>
      </w:r>
    </w:p>
    <w:p>
      <w:pPr>
        <w:spacing w:line="500" w:lineRule="exact"/>
        <w:ind w:firstLine="600" w:firstLineChars="250"/>
        <w:rPr>
          <w:rFonts w:ascii="仿宋" w:hAnsi="仿宋" w:eastAsia="仿宋" w:cs="仿宋_GB2312"/>
          <w:sz w:val="24"/>
          <w:lang w:val="zh-CN"/>
        </w:rPr>
      </w:pPr>
      <w:r>
        <w:rPr>
          <w:rFonts w:hint="eastAsia" w:ascii="仿宋" w:hAnsi="仿宋" w:eastAsia="仿宋" w:cs="仿宋_GB2312"/>
          <w:sz w:val="24"/>
          <w:lang w:val="zh-CN"/>
        </w:rPr>
        <w:t>1、履约保证金还用于经营期内的安全管理。对乙方安全管理不到位、不服从甲方安全管理的，甲方有权从履约保证金内扣除，用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2、乙方出现违反安全协议约定情形的，甲方有权按每次人民币1000——10000 元，从履约保证金中扣除。</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3、乙方在经营期内发生责任死亡事故的，甲方有权对乙方处以人民币5-10万元/人的处罚。</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（二）安全生产责任风险的承担</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pPr>
        <w:spacing w:line="480" w:lineRule="exact"/>
        <w:ind w:firstLine="482" w:firstLineChars="200"/>
        <w:jc w:val="left"/>
        <w:outlineLvl w:val="1"/>
        <w:rPr>
          <w:rFonts w:ascii="仿宋" w:hAnsi="仿宋" w:eastAsia="仿宋" w:cs="仿宋_GB2312"/>
          <w:b/>
          <w:bCs/>
          <w:color w:val="000000"/>
          <w:sz w:val="24"/>
        </w:rPr>
      </w:pPr>
      <w:r>
        <w:rPr>
          <w:rFonts w:hint="eastAsia" w:ascii="仿宋" w:hAnsi="仿宋" w:eastAsia="仿宋" w:cs="仿宋_GB2312"/>
          <w:b/>
          <w:bCs/>
          <w:color w:val="000000"/>
          <w:sz w:val="24"/>
          <w:lang w:val="en-US" w:eastAsia="zh-CN"/>
        </w:rPr>
        <w:t>五</w:t>
      </w:r>
      <w:r>
        <w:rPr>
          <w:rFonts w:hint="eastAsia" w:ascii="仿宋" w:hAnsi="仿宋" w:eastAsia="仿宋" w:cs="仿宋_GB2312"/>
          <w:b/>
          <w:bCs/>
          <w:color w:val="000000"/>
          <w:sz w:val="24"/>
        </w:rPr>
        <w:t>、本合同的签订作为甲、乙双方于年月日签订的</w:t>
      </w:r>
      <w:bookmarkStart w:id="19" w:name="OLE_LINK13"/>
      <w:r>
        <w:rPr>
          <w:rFonts w:hint="eastAsia" w:ascii="仿宋_GB2312" w:hAnsi="宋体" w:eastAsia="仿宋_GB2312"/>
          <w:b/>
          <w:bCs/>
          <w:sz w:val="24"/>
          <w:lang w:val="en-GB"/>
        </w:rPr>
        <w:t>【】</w:t>
      </w:r>
      <w:bookmarkEnd w:id="19"/>
      <w:r>
        <w:rPr>
          <w:rFonts w:hint="eastAsia" w:ascii="仿宋" w:hAnsi="仿宋" w:eastAsia="仿宋" w:cs="仿宋_GB2312"/>
          <w:b/>
          <w:bCs/>
          <w:color w:val="000000"/>
          <w:sz w:val="24"/>
        </w:rPr>
        <w:t>的附件，与主合同具有同等法律效力。</w:t>
      </w:r>
    </w:p>
    <w:p>
      <w:pPr>
        <w:spacing w:line="50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六</w:t>
      </w:r>
      <w:r>
        <w:rPr>
          <w:rFonts w:hint="eastAsia" w:ascii="黑体" w:hAnsi="黑体" w:eastAsia="黑体" w:cs="黑体"/>
          <w:bCs/>
          <w:color w:val="auto"/>
          <w:sz w:val="24"/>
        </w:rPr>
        <w:t>、本合同经甲、乙双方签字盖章后生效</w:t>
      </w:r>
      <w:r>
        <w:rPr>
          <w:rFonts w:hint="eastAsia" w:ascii="黑体" w:hAnsi="黑体" w:eastAsia="黑体" w:cs="黑体"/>
          <w:bCs/>
          <w:color w:val="auto"/>
          <w:sz w:val="24"/>
          <w:lang w:eastAsia="zh-CN"/>
        </w:rPr>
        <w:t>，</w:t>
      </w:r>
      <w:r>
        <w:rPr>
          <w:rFonts w:hint="eastAsia" w:ascii="黑体" w:hAnsi="黑体" w:eastAsia="黑体" w:cs="黑体"/>
          <w:bCs/>
          <w:color w:val="auto"/>
          <w:sz w:val="24"/>
          <w:lang w:val="en-US" w:eastAsia="zh-CN"/>
        </w:rPr>
        <w:t>合同</w:t>
      </w:r>
      <w:r>
        <w:rPr>
          <w:rFonts w:hint="eastAsia" w:ascii="黑体" w:hAnsi="黑体" w:eastAsia="黑体" w:cs="黑体"/>
          <w:bCs/>
          <w:color w:val="auto"/>
          <w:sz w:val="24"/>
        </w:rPr>
        <w:t>一式</w:t>
      </w:r>
      <w:r>
        <w:rPr>
          <w:rFonts w:hint="eastAsia" w:ascii="黑体" w:hAnsi="黑体" w:eastAsia="黑体" w:cs="黑体"/>
          <w:bCs/>
          <w:sz w:val="24"/>
          <w:lang w:val="en-US" w:eastAsia="zh-CN"/>
        </w:rPr>
        <w:t>四</w:t>
      </w:r>
      <w:r>
        <w:rPr>
          <w:rFonts w:hint="eastAsia" w:ascii="黑体" w:hAnsi="黑体" w:eastAsia="黑体" w:cs="黑体"/>
          <w:bCs/>
          <w:color w:val="auto"/>
          <w:sz w:val="24"/>
        </w:rPr>
        <w:t>份，合同双方各执两份，每份具有同等法律效力。</w:t>
      </w:r>
    </w:p>
    <w:p>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bookmarkStart w:id="20" w:name="OLE_LINK31"/>
      <w:r>
        <w:rPr>
          <w:rFonts w:hint="eastAsia" w:ascii="仿宋" w:hAnsi="仿宋" w:eastAsia="仿宋"/>
          <w:sz w:val="24"/>
          <w:lang w:val="en-GB"/>
        </w:rPr>
        <w:t>甲方：</w:t>
      </w:r>
    </w:p>
    <w:p>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bookmarkEnd w:id="20"/>
    <w:p>
      <w:pPr>
        <w:adjustRightInd w:val="0"/>
        <w:snapToGrid w:val="0"/>
        <w:spacing w:line="360" w:lineRule="auto"/>
        <w:rPr>
          <w:rFonts w:ascii="仿宋" w:hAnsi="仿宋" w:eastAsia="仿宋"/>
          <w:sz w:val="24"/>
          <w:lang w:val="en-GB"/>
        </w:rPr>
      </w:pPr>
    </w:p>
    <w:p>
      <w:pPr>
        <w:snapToGrid w:val="0"/>
        <w:spacing w:line="460" w:lineRule="exact"/>
        <w:rPr>
          <w:rFonts w:hint="eastAsia" w:ascii="仿宋" w:hAnsi="仿宋" w:eastAsia="仿宋"/>
          <w:sz w:val="24"/>
          <w:lang w:val="en-GB"/>
        </w:rPr>
      </w:pPr>
      <w:r>
        <w:rPr>
          <w:rFonts w:hint="eastAsia" w:ascii="仿宋" w:hAnsi="仿宋" w:eastAsia="仿宋"/>
          <w:sz w:val="24"/>
          <w:lang w:val="en-GB"/>
        </w:rPr>
        <w:t>乙方：</w:t>
      </w:r>
      <w:bookmarkStart w:id="21" w:name="OLE_LINK12"/>
    </w:p>
    <w:bookmarkEnd w:id="21"/>
    <w:p>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签章：</w:t>
      </w:r>
    </w:p>
    <w:p/>
    <w:p>
      <w:pPr>
        <w:widowControl/>
        <w:jc w:val="left"/>
        <w:rPr>
          <w:rFonts w:asciiTheme="majorEastAsia" w:hAnsiTheme="majorEastAsia" w:eastAsiaTheme="majorEastAsia"/>
          <w:b/>
          <w:sz w:val="32"/>
          <w:lang w:val="en-GB"/>
        </w:rPr>
      </w:pPr>
    </w:p>
    <w:p>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pPr>
        <w:snapToGrid w:val="0"/>
        <w:spacing w:line="460" w:lineRule="exact"/>
        <w:rPr>
          <w:rFonts w:asciiTheme="majorEastAsia" w:hAnsiTheme="majorEastAsia" w:eastAsiaTheme="majorEastAsia"/>
          <w:b/>
          <w:sz w:val="32"/>
          <w:lang w:val="en-GB"/>
        </w:rPr>
      </w:pPr>
      <w:bookmarkStart w:id="22" w:name="OLE_LINK32"/>
      <w:r>
        <w:rPr>
          <w:rFonts w:hint="eastAsia" w:asciiTheme="majorEastAsia" w:hAnsiTheme="majorEastAsia" w:eastAsiaTheme="majorEastAsia"/>
          <w:b/>
          <w:sz w:val="32"/>
          <w:lang w:val="en-GB"/>
        </w:rPr>
        <w:t>附件3</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高速公路服务区业务廉政合同</w:t>
      </w:r>
    </w:p>
    <w:p>
      <w:pPr>
        <w:snapToGrid w:val="0"/>
        <w:spacing w:line="460" w:lineRule="exact"/>
        <w:jc w:val="center"/>
        <w:rPr>
          <w:rFonts w:asciiTheme="majorEastAsia" w:hAnsiTheme="majorEastAsia" w:eastAsiaTheme="majorEastAsia"/>
          <w:b/>
          <w:sz w:val="32"/>
          <w:lang w:val="en-GB"/>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根据有关廉政建设的规定，为做好经营活动中的党风廉政建设，保证服务区严格管理、规范服务，自觉维护服务区文明窗口形象以及投资效益，</w:t>
      </w:r>
      <w:r>
        <w:rPr>
          <w:rFonts w:hint="eastAsia" w:ascii="仿宋_GB2312" w:eastAsia="仿宋_GB2312"/>
          <w:sz w:val="24"/>
          <w:u w:val="single"/>
        </w:rPr>
        <w:t xml:space="preserve">      </w:t>
      </w:r>
      <w:r>
        <w:rPr>
          <w:rFonts w:hint="eastAsia" w:ascii="仿宋_GB2312" w:eastAsia="仿宋_GB2312"/>
          <w:sz w:val="24"/>
        </w:rPr>
        <w:t>服务区</w:t>
      </w:r>
      <w:r>
        <w:rPr>
          <w:rFonts w:hint="eastAsia" w:ascii="仿宋_GB2312" w:eastAsia="仿宋_GB2312"/>
          <w:sz w:val="24"/>
          <w:lang w:eastAsia="zh-CN"/>
        </w:rPr>
        <w:t>（</w:t>
      </w:r>
      <w:r>
        <w:rPr>
          <w:rFonts w:hint="eastAsia" w:ascii="仿宋_GB2312" w:hAnsi="仿宋_GB2312" w:eastAsia="仿宋_GB2312" w:cs="仿宋_GB2312"/>
          <w:sz w:val="24"/>
        </w:rPr>
        <w:t>以下称甲方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与</w:t>
      </w:r>
      <w:r>
        <w:rPr>
          <w:rFonts w:hint="eastAsia" w:ascii="仿宋_GB2312" w:hAnsi="仿宋_GB2312" w:eastAsia="仿宋_GB2312" w:cs="仿宋_GB2312"/>
          <w:sz w:val="24"/>
          <w:u w:val="single"/>
        </w:rPr>
        <w:t xml:space="preserve"> </w:t>
      </w:r>
      <w:r>
        <w:rPr>
          <w:rFonts w:hint="eastAsia" w:ascii="仿宋_GB2312" w:eastAsia="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sz w:val="24"/>
        </w:rPr>
        <w:t>以下称乙方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，特订立以下合同。</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1．甲乙双方的权利和义务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严格遵守党和国家有关法律法规及主管行业部门的有关廉政规定。</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严格执行项目经营合同，自觉按合同办事。</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双方的业务活动坚持公开、公正、诚信、透明的原则，不得损害国家和集体的利益，不得违反相关的规章制度。</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建立健全廉政制度，开展廉政教育，建立廉政告示牌，公布举报电话，监督并认真查处违法违纪行为。</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发现对方在业务活动中有违反廉政规定的行为，有及时提醒对方纠正的权利和义务。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发现对方严重违反本合同义务条款的行为，有向其上级有关部门举报、建议给予处理并要求告知处理结果的权利。</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2．甲方的义务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甲方及其工作人员不得索要或接受乙方的礼金、有价证券和贵重物品，不得在乙方报销任何应由甲方或个人支付的费用。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甲方工作人员不得参加乙方安排的超标准宴请和娱乐活动，不得接受乙方提供的通讯、交通工具和高档办公用品。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甲方及其工作人员不得要求或者接受乙方为其住房装修、婚丧嫁娶活动、配偶子女的工作安排以及出国出境、旅游等提供方便。</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甲方工作人员及其配偶、子女不得从事与甲方服务区经营项目有关的材料设备和商品供应、工程分包、劳务等经济活动。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甲方及其工作人员不得以任何理由向乙方推荐经营单位，推荐材料、商品。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甲方工作人员要秉公办事，不准营私舞弊，不准利用职权从事各种个人有偿中介活动和安排个人施工队伍。</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3．乙方义务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(1)乙方不得以任何名义向甲方及其工作人员馈赠礼金、有价证券、贵重礼品。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(2)乙方不得以任何名义为甲方及其工作人员报销由甲方单位或个人支付的费用。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(3)乙方不得以任何理由安排甲方工作人员参加超标准宴请及娱乐活动。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(4)乙方不得为甲方单位和个人购置或提供</w:t>
      </w:r>
      <w:r>
        <w:rPr>
          <w:rFonts w:hint="eastAsia" w:ascii="仿宋_GB2312" w:hAnsi="仿宋_GB2312" w:eastAsia="仿宋_GB2312" w:cs="仿宋_GB2312"/>
          <w:sz w:val="24"/>
          <w:lang w:val="en-US" w:eastAsia="zh-CN"/>
        </w:rPr>
        <w:t>通信</w:t>
      </w:r>
      <w:r>
        <w:rPr>
          <w:rFonts w:hint="eastAsia" w:ascii="仿宋_GB2312" w:hAnsi="仿宋_GB2312" w:eastAsia="仿宋_GB2312" w:cs="仿宋_GB2312"/>
          <w:sz w:val="24"/>
        </w:rPr>
        <w:t>工具、交通工具和高档办公用品。</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4．违约责任</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(1)甲方及其工作人员违反本合同第1、2条，按管理权限，依据有关规定给予党纪、政纪或组织处理；涉嫌犯罪的，移交司法机关追究刑事责任；给乙方单位造成经济损失的，应予以赔偿。</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及其工作人员违反本合同第1、3条，按管理权限，依据有关规定，建议给予党纪、政纪或组织处理；给甲方单位造成经济损失的应予以赔偿；情节严重的，甲方建议行业主管部门给予乙方三年内不得进入服务区经营的处罚。</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6．本合同有效期为甲乙双方签署之日起至</w:t>
      </w:r>
      <w:bookmarkStart w:id="23" w:name="OLE_LINK14"/>
      <w:r>
        <w:rPr>
          <w:rFonts w:hint="eastAsia" w:ascii="黑体" w:hAnsi="黑体" w:eastAsia="黑体" w:cs="黑体"/>
          <w:sz w:val="24"/>
          <w:u w:val="none"/>
        </w:rPr>
        <w:t xml:space="preserve">        </w:t>
      </w:r>
      <w:bookmarkEnd w:id="23"/>
      <w:r>
        <w:rPr>
          <w:rFonts w:hint="eastAsia" w:ascii="黑体" w:hAnsi="黑体" w:eastAsia="黑体" w:cs="黑体"/>
          <w:sz w:val="24"/>
        </w:rPr>
        <w:t>合同履约完毕之日止。</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7．本合同作为</w:t>
      </w:r>
      <w:r>
        <w:rPr>
          <w:rFonts w:hint="eastAsia" w:ascii="黑体" w:hAnsi="黑体" w:eastAsia="黑体" w:cs="黑体"/>
          <w:sz w:val="24"/>
          <w:u w:val="none"/>
        </w:rPr>
        <w:t xml:space="preserve">        </w:t>
      </w:r>
      <w:r>
        <w:rPr>
          <w:rFonts w:hint="eastAsia" w:ascii="黑体" w:hAnsi="黑体" w:eastAsia="黑体" w:cs="黑体"/>
          <w:sz w:val="24"/>
        </w:rPr>
        <w:t>合同的附件，与该合同具有同等的法律效力，经合同双方签署立即生效。</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8．本合同正本一式</w:t>
      </w:r>
      <w:r>
        <w:rPr>
          <w:rFonts w:hint="eastAsia" w:ascii="黑体" w:hAnsi="黑体" w:eastAsia="黑体" w:cs="黑体"/>
          <w:sz w:val="24"/>
          <w:lang w:val="en-US" w:eastAsia="zh-CN"/>
        </w:rPr>
        <w:t>四</w:t>
      </w:r>
      <w:r>
        <w:rPr>
          <w:rFonts w:hint="eastAsia" w:ascii="黑体" w:hAnsi="黑体" w:eastAsia="黑体" w:cs="黑体"/>
          <w:sz w:val="24"/>
        </w:rPr>
        <w:t>份，双方各执两份，每份具有同等法律效力。</w:t>
      </w:r>
    </w:p>
    <w:p>
      <w:pPr>
        <w:spacing w:line="400" w:lineRule="exact"/>
        <w:ind w:firstLine="480" w:firstLineChars="200"/>
        <w:rPr>
          <w:rFonts w:hint="eastAsia" w:ascii="黑体" w:hAnsi="黑体" w:eastAsia="黑体" w:cs="黑体"/>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甲方单位：（盖章）                  乙方单位：（盖章）</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法定代表人或其授权代理人：法定代表人或其授权代理人：</w:t>
      </w:r>
    </w:p>
    <w:p>
      <w:pPr>
        <w:spacing w:line="400" w:lineRule="exact"/>
        <w:ind w:firstLine="480" w:firstLineChars="200"/>
        <w:jc w:val="right"/>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日期：   年  月  日</w:t>
      </w:r>
    </w:p>
    <w:p>
      <w:pPr>
        <w:rPr>
          <w:rFonts w:ascii="仿宋_GB2312" w:hAnsi="宋体" w:eastAsia="仿宋_GB2312"/>
          <w:sz w:val="24"/>
          <w:lang w:val="en-GB"/>
        </w:rPr>
      </w:pPr>
    </w:p>
    <w:bookmarkEnd w:id="22"/>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bookmarkStart w:id="26" w:name="_GoBack"/>
      <w:r>
        <w:rPr>
          <w:rFonts w:hint="eastAsia" w:ascii="仿宋" w:hAnsi="仿宋" w:eastAsia="仿宋"/>
          <w:sz w:val="24"/>
          <w:highlight w:val="none"/>
        </w:rPr>
        <w:t>己方</w:t>
      </w:r>
      <w:bookmarkEnd w:id="26"/>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pPr>
        <w:snapToGrid w:val="0"/>
        <w:spacing w:line="360" w:lineRule="auto"/>
        <w:ind w:firstLine="480" w:firstLineChars="200"/>
        <w:rPr>
          <w:rFonts w:hint="eastAsia" w:ascii="仿宋" w:hAnsi="仿宋" w:eastAsia="仿宋"/>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pPr>
        <w:snapToGrid w:val="0"/>
        <w:spacing w:line="360" w:lineRule="auto"/>
        <w:ind w:firstLine="480" w:firstLineChars="200"/>
        <w:rPr>
          <w:rFonts w:hint="eastAsia" w:ascii="仿宋" w:hAnsi="仿宋" w:eastAsia="仿宋"/>
          <w:sz w:val="24"/>
        </w:rPr>
      </w:pPr>
    </w:p>
    <w:p>
      <w:pPr>
        <w:snapToGrid w:val="0"/>
        <w:spacing w:line="460" w:lineRule="exact"/>
        <w:jc w:val="right"/>
        <w:rPr>
          <w:rFonts w:hint="eastAsia" w:cs="黑体" w:asciiTheme="majorEastAsia" w:hAnsiTheme="majorEastAsia" w:eastAsiaTheme="majorEastAsia"/>
          <w:b/>
          <w:sz w:val="28"/>
          <w:szCs w:val="28"/>
        </w:rPr>
      </w:pPr>
      <w:bookmarkStart w:id="24" w:name="OLE_LINK16"/>
      <w:r>
        <w:rPr>
          <w:rFonts w:hint="eastAsia" w:cs="黑体" w:asciiTheme="majorEastAsia" w:hAnsiTheme="majorEastAsia" w:eastAsiaTheme="majorEastAsia"/>
          <w:b/>
          <w:sz w:val="28"/>
          <w:szCs w:val="28"/>
          <w:lang w:val="en-US" w:eastAsia="zh-CN"/>
        </w:rPr>
        <w:t xml:space="preserve">【公司名称】   </w:t>
      </w:r>
      <w:r>
        <w:rPr>
          <w:rFonts w:hint="eastAsia" w:cs="黑体" w:asciiTheme="majorEastAsia" w:hAnsiTheme="majorEastAsia" w:eastAsiaTheme="majorEastAsia"/>
          <w:b/>
          <w:sz w:val="28"/>
          <w:szCs w:val="28"/>
        </w:rPr>
        <w:t xml:space="preserve"> </w:t>
      </w:r>
    </w:p>
    <w:p>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年   月   日</w:t>
      </w:r>
    </w:p>
    <w:bookmarkEnd w:id="15"/>
    <w:bookmarkEnd w:id="24"/>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25" w:name="_Hlk101977101"/>
      <w:r>
        <w:rPr>
          <w:rFonts w:hint="eastAsia" w:asciiTheme="majorEastAsia" w:hAnsiTheme="majorEastAsia" w:eastAsiaTheme="majorEastAsia"/>
          <w:b/>
          <w:sz w:val="32"/>
          <w:lang w:val="en-GB"/>
        </w:rPr>
        <w:t>附件5</w:t>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pPr>
        <w:snapToGrid w:val="0"/>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pPr>
        <w:rPr>
          <w:lang w:val="en-GB"/>
        </w:rPr>
      </w:pP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r>
              <w:rPr>
                <w:lang w:val="en-GB"/>
              </w:rPr>
              <w:t>序号</w:t>
            </w:r>
          </w:p>
        </w:tc>
        <w:tc>
          <w:tcPr>
            <w:tcW w:w="1275" w:type="dxa"/>
          </w:tcPr>
          <w:p>
            <w:pPr>
              <w:jc w:val="center"/>
              <w:rPr>
                <w:lang w:val="en-GB"/>
              </w:rPr>
            </w:pPr>
            <w:r>
              <w:rPr>
                <w:lang w:val="en-GB"/>
              </w:rPr>
              <w:t>品类</w:t>
            </w:r>
          </w:p>
        </w:tc>
        <w:tc>
          <w:tcPr>
            <w:tcW w:w="1560" w:type="dxa"/>
          </w:tcPr>
          <w:p>
            <w:pPr>
              <w:jc w:val="center"/>
              <w:rPr>
                <w:lang w:val="en-GB"/>
              </w:rPr>
            </w:pPr>
            <w:r>
              <w:rPr>
                <w:lang w:val="en-GB"/>
              </w:rPr>
              <w:t>规格</w:t>
            </w:r>
          </w:p>
        </w:tc>
        <w:tc>
          <w:tcPr>
            <w:tcW w:w="1701" w:type="dxa"/>
          </w:tcPr>
          <w:p>
            <w:pPr>
              <w:jc w:val="center"/>
              <w:rPr>
                <w:lang w:val="en-GB"/>
              </w:rPr>
            </w:pPr>
            <w:r>
              <w:rPr>
                <w:lang w:val="en-GB"/>
              </w:rPr>
              <w:t>售价：元</w:t>
            </w:r>
          </w:p>
        </w:tc>
        <w:tc>
          <w:tcPr>
            <w:tcW w:w="1510" w:type="dxa"/>
          </w:tcPr>
          <w:p>
            <w:pPr>
              <w:jc w:val="center"/>
              <w:rPr>
                <w:lang w:val="en-GB"/>
              </w:rPr>
            </w:pPr>
            <w:r>
              <w:rPr>
                <w:rFonts w:hint="eastAsia"/>
                <w:lang w:val="en-GB"/>
              </w:rPr>
              <w:t>参考</w:t>
            </w:r>
            <w:r>
              <w:rPr>
                <w:lang w:val="en-GB"/>
              </w:rPr>
              <w:t>图片</w:t>
            </w:r>
          </w:p>
        </w:tc>
        <w:tc>
          <w:tcPr>
            <w:tcW w:w="1375" w:type="dxa"/>
          </w:tcPr>
          <w:p>
            <w:pPr>
              <w:jc w:val="center"/>
              <w:rPr>
                <w:lang w:val="en-GB"/>
              </w:rPr>
            </w:pPr>
            <w:r>
              <w:rPr>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bl>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snapToGrid w:val="0"/>
        <w:spacing w:line="360" w:lineRule="auto"/>
        <w:rPr>
          <w:rFonts w:ascii="仿宋" w:hAnsi="仿宋" w:eastAsia="仿宋"/>
          <w:sz w:val="24"/>
        </w:rPr>
      </w:pPr>
      <w:r>
        <w:rPr>
          <w:rFonts w:hint="eastAsia" w:ascii="仿宋" w:hAnsi="仿宋" w:eastAsia="仿宋"/>
          <w:sz w:val="24"/>
        </w:rPr>
        <w:t>乙方已收悉并阅读甲方所有经营规章制度和管理手册，清楚明确己方的权利义务要求，乙方完全接受并响应浙江省商业集团关于产品销售及价格管理的系列要求，规范经营，提高服务质量，满足司乘需求。</w:t>
      </w:r>
    </w:p>
    <w:p>
      <w:pPr>
        <w:snapToGrid w:val="0"/>
        <w:spacing w:line="460" w:lineRule="exact"/>
        <w:jc w:val="right"/>
        <w:rPr>
          <w:rFonts w:hint="eastAsia" w:cs="黑体" w:asciiTheme="majorEastAsia" w:hAnsiTheme="majorEastAsia" w:eastAsiaTheme="majorEastAsia"/>
          <w:b/>
          <w:sz w:val="24"/>
          <w:szCs w:val="28"/>
        </w:rPr>
      </w:pPr>
      <w:r>
        <w:rPr>
          <w:rFonts w:hint="eastAsia" w:ascii="仿宋_GB2312" w:hAnsi="宋体" w:eastAsia="仿宋_GB2312"/>
          <w:sz w:val="24"/>
          <w:lang w:val="en-GB"/>
        </w:rPr>
        <w:t>【</w:t>
      </w:r>
      <w:r>
        <w:rPr>
          <w:rFonts w:hint="eastAsia" w:ascii="仿宋_GB2312" w:hAnsi="宋体" w:eastAsia="仿宋_GB2312"/>
          <w:sz w:val="24"/>
          <w:lang w:val="en-US" w:eastAsia="zh-CN"/>
        </w:rPr>
        <w:t>公司名称</w:t>
      </w:r>
      <w:r>
        <w:rPr>
          <w:rFonts w:hint="eastAsia" w:ascii="仿宋_GB2312" w:hAnsi="宋体" w:eastAsia="仿宋_GB2312"/>
          <w:sz w:val="24"/>
          <w:lang w:val="en-GB"/>
        </w:rPr>
        <w:t>】</w:t>
      </w:r>
    </w:p>
    <w:p>
      <w:pPr>
        <w:snapToGrid w:val="0"/>
        <w:spacing w:line="460" w:lineRule="exact"/>
        <w:ind w:right="0"/>
        <w:jc w:val="right"/>
        <w:rPr>
          <w:rFonts w:ascii="仿宋_GB2312" w:hAnsi="宋体" w:eastAsia="仿宋_GB2312"/>
          <w:sz w:val="24"/>
        </w:rPr>
      </w:pPr>
      <w:r>
        <w:rPr>
          <w:rFonts w:hint="eastAsia" w:cs="黑体" w:asciiTheme="majorEastAsia" w:hAnsiTheme="majorEastAsia" w:eastAsiaTheme="majorEastAsia"/>
          <w:b/>
          <w:sz w:val="24"/>
          <w:szCs w:val="28"/>
        </w:rPr>
        <w:t xml:space="preserve">   年   月   日</w:t>
      </w:r>
      <w:bookmarkEnd w:id="2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pPr>
          <w:pStyle w:val="5"/>
          <w:jc w:val="center"/>
        </w:pPr>
        <w:r>
          <w:fldChar w:fldCharType="begin"/>
        </w:r>
        <w:r>
          <w:instrText xml:space="preserve"> PAGE   \* MERGEFORMAT </w:instrText>
        </w:r>
        <w:r>
          <w:fldChar w:fldCharType="separate"/>
        </w:r>
        <w:r>
          <w:rPr>
            <w:lang w:val="zh-CN"/>
          </w:rP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0E832"/>
    <w:multiLevelType w:val="singleLevel"/>
    <w:tmpl w:val="92F0E832"/>
    <w:lvl w:ilvl="0" w:tentative="0">
      <w:start w:val="7"/>
      <w:numFmt w:val="decimal"/>
      <w:suff w:val="space"/>
      <w:lvlText w:val="%1."/>
      <w:lvlJc w:val="left"/>
    </w:lvl>
  </w:abstractNum>
  <w:abstractNum w:abstractNumId="1">
    <w:nsid w:val="BBD0522A"/>
    <w:multiLevelType w:val="singleLevel"/>
    <w:tmpl w:val="BBD0522A"/>
    <w:lvl w:ilvl="0" w:tentative="0">
      <w:start w:val="3"/>
      <w:numFmt w:val="decimal"/>
      <w:lvlText w:val="%1."/>
      <w:lvlJc w:val="left"/>
      <w:pPr>
        <w:tabs>
          <w:tab w:val="left" w:pos="312"/>
        </w:tabs>
      </w:pPr>
    </w:lvl>
  </w:abstractNum>
  <w:abstractNum w:abstractNumId="2">
    <w:nsid w:val="C7277702"/>
    <w:multiLevelType w:val="singleLevel"/>
    <w:tmpl w:val="C7277702"/>
    <w:lvl w:ilvl="0" w:tentative="0">
      <w:start w:val="2"/>
      <w:numFmt w:val="chineseCounting"/>
      <w:suff w:val="nothing"/>
      <w:lvlText w:val="（%1）"/>
      <w:lvlJc w:val="left"/>
      <w:rPr>
        <w:rFonts w:hint="eastAsia"/>
      </w:rPr>
    </w:lvl>
  </w:abstractNum>
  <w:abstractNum w:abstractNumId="3">
    <w:nsid w:val="7407013D"/>
    <w:multiLevelType w:val="singleLevel"/>
    <w:tmpl w:val="7407013D"/>
    <w:lvl w:ilvl="0" w:tentative="0">
      <w:start w:val="3"/>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2VjZGNmNzIzMDJhZTUwMThjMjk4NmQ4YzU1NDM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1394"/>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5508"/>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1CE9"/>
    <w:rsid w:val="00625324"/>
    <w:rsid w:val="00627062"/>
    <w:rsid w:val="0063113F"/>
    <w:rsid w:val="0063168C"/>
    <w:rsid w:val="00631D47"/>
    <w:rsid w:val="006325FB"/>
    <w:rsid w:val="00632882"/>
    <w:rsid w:val="00633E41"/>
    <w:rsid w:val="00635802"/>
    <w:rsid w:val="00641E35"/>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07A68"/>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3787"/>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4EB9"/>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E5D83"/>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3826"/>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82"/>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1C44BE"/>
    <w:rsid w:val="02FB448F"/>
    <w:rsid w:val="038D3451"/>
    <w:rsid w:val="03DB0660"/>
    <w:rsid w:val="04277401"/>
    <w:rsid w:val="05123C0E"/>
    <w:rsid w:val="05D828C4"/>
    <w:rsid w:val="063431EE"/>
    <w:rsid w:val="06AC2E4B"/>
    <w:rsid w:val="06B83EA4"/>
    <w:rsid w:val="06FD18C9"/>
    <w:rsid w:val="073A2BB2"/>
    <w:rsid w:val="07556B35"/>
    <w:rsid w:val="075B14A7"/>
    <w:rsid w:val="07B93A20"/>
    <w:rsid w:val="08D101C8"/>
    <w:rsid w:val="08FF6B9F"/>
    <w:rsid w:val="0992478A"/>
    <w:rsid w:val="099B68C7"/>
    <w:rsid w:val="09EC7123"/>
    <w:rsid w:val="0A183EA3"/>
    <w:rsid w:val="0A6749FB"/>
    <w:rsid w:val="0AA23C86"/>
    <w:rsid w:val="0ACE4A7B"/>
    <w:rsid w:val="0AD475C1"/>
    <w:rsid w:val="0B386398"/>
    <w:rsid w:val="0B8D66E4"/>
    <w:rsid w:val="0C692CAD"/>
    <w:rsid w:val="0C871385"/>
    <w:rsid w:val="0CC779D3"/>
    <w:rsid w:val="0D2B61B4"/>
    <w:rsid w:val="0D556D8D"/>
    <w:rsid w:val="0D865FF2"/>
    <w:rsid w:val="0E4A08BC"/>
    <w:rsid w:val="0F036010"/>
    <w:rsid w:val="0F146082"/>
    <w:rsid w:val="0F423341"/>
    <w:rsid w:val="0F621C35"/>
    <w:rsid w:val="0F696CB7"/>
    <w:rsid w:val="0FDC3796"/>
    <w:rsid w:val="1022117F"/>
    <w:rsid w:val="10944070"/>
    <w:rsid w:val="11036B00"/>
    <w:rsid w:val="11444DD5"/>
    <w:rsid w:val="114F1D45"/>
    <w:rsid w:val="12987A97"/>
    <w:rsid w:val="135739C0"/>
    <w:rsid w:val="13B73118"/>
    <w:rsid w:val="140E5AC1"/>
    <w:rsid w:val="141F1EA3"/>
    <w:rsid w:val="148937C0"/>
    <w:rsid w:val="15C65F3D"/>
    <w:rsid w:val="15CC7E09"/>
    <w:rsid w:val="16614E06"/>
    <w:rsid w:val="169E686A"/>
    <w:rsid w:val="16B96146"/>
    <w:rsid w:val="17465999"/>
    <w:rsid w:val="17E609B2"/>
    <w:rsid w:val="17EF3567"/>
    <w:rsid w:val="18296186"/>
    <w:rsid w:val="185A794E"/>
    <w:rsid w:val="18826293"/>
    <w:rsid w:val="191E78E7"/>
    <w:rsid w:val="19CE05F3"/>
    <w:rsid w:val="19EA6CD0"/>
    <w:rsid w:val="1A1678A4"/>
    <w:rsid w:val="1A4408B5"/>
    <w:rsid w:val="1A8213DE"/>
    <w:rsid w:val="1AF8344E"/>
    <w:rsid w:val="1B027E29"/>
    <w:rsid w:val="1B0D0CA7"/>
    <w:rsid w:val="1B80591D"/>
    <w:rsid w:val="1B9F3911"/>
    <w:rsid w:val="1C0E52F6"/>
    <w:rsid w:val="1C454471"/>
    <w:rsid w:val="1C58286D"/>
    <w:rsid w:val="1C5B7C27"/>
    <w:rsid w:val="1C8036FB"/>
    <w:rsid w:val="1CAC44F0"/>
    <w:rsid w:val="1D083E1C"/>
    <w:rsid w:val="1D2A6F9B"/>
    <w:rsid w:val="1D84721B"/>
    <w:rsid w:val="1E7A642F"/>
    <w:rsid w:val="1E875215"/>
    <w:rsid w:val="1EB3209F"/>
    <w:rsid w:val="1F3A1EA4"/>
    <w:rsid w:val="1FCA53B9"/>
    <w:rsid w:val="1FE50484"/>
    <w:rsid w:val="201E3957"/>
    <w:rsid w:val="20362A4E"/>
    <w:rsid w:val="21E93AF0"/>
    <w:rsid w:val="22161202"/>
    <w:rsid w:val="22853480"/>
    <w:rsid w:val="22AD1DB0"/>
    <w:rsid w:val="23563407"/>
    <w:rsid w:val="237703CA"/>
    <w:rsid w:val="23AF6454"/>
    <w:rsid w:val="243454F7"/>
    <w:rsid w:val="24373239"/>
    <w:rsid w:val="249661B1"/>
    <w:rsid w:val="252E5512"/>
    <w:rsid w:val="256C3D63"/>
    <w:rsid w:val="259721E1"/>
    <w:rsid w:val="264834DB"/>
    <w:rsid w:val="26692BA4"/>
    <w:rsid w:val="267C4F33"/>
    <w:rsid w:val="26FD5C2D"/>
    <w:rsid w:val="27257379"/>
    <w:rsid w:val="277327DA"/>
    <w:rsid w:val="277C091B"/>
    <w:rsid w:val="281A0EA7"/>
    <w:rsid w:val="285919D0"/>
    <w:rsid w:val="28920A3E"/>
    <w:rsid w:val="28A6273B"/>
    <w:rsid w:val="28BC2A61"/>
    <w:rsid w:val="2908797F"/>
    <w:rsid w:val="290F0A6B"/>
    <w:rsid w:val="298432BA"/>
    <w:rsid w:val="29A529F3"/>
    <w:rsid w:val="2A3C5B23"/>
    <w:rsid w:val="2A7F1496"/>
    <w:rsid w:val="2B141BDE"/>
    <w:rsid w:val="2BEF61A7"/>
    <w:rsid w:val="2C3165D7"/>
    <w:rsid w:val="2D117055"/>
    <w:rsid w:val="2D8E2BB9"/>
    <w:rsid w:val="2DA51101"/>
    <w:rsid w:val="2DBD655D"/>
    <w:rsid w:val="2DE25FC3"/>
    <w:rsid w:val="2DE955A4"/>
    <w:rsid w:val="2DF74731"/>
    <w:rsid w:val="2E0C0BF4"/>
    <w:rsid w:val="2E6D7F83"/>
    <w:rsid w:val="2F3A3BDD"/>
    <w:rsid w:val="2F4E46A9"/>
    <w:rsid w:val="2F6379A6"/>
    <w:rsid w:val="2F751F36"/>
    <w:rsid w:val="2FFF6721"/>
    <w:rsid w:val="30A03FE6"/>
    <w:rsid w:val="30A13F14"/>
    <w:rsid w:val="31376626"/>
    <w:rsid w:val="31C42A34"/>
    <w:rsid w:val="31DE2F46"/>
    <w:rsid w:val="31FC517A"/>
    <w:rsid w:val="32702F24"/>
    <w:rsid w:val="335C2374"/>
    <w:rsid w:val="33743B62"/>
    <w:rsid w:val="3380273C"/>
    <w:rsid w:val="33CB12A8"/>
    <w:rsid w:val="33EF4F96"/>
    <w:rsid w:val="34F07218"/>
    <w:rsid w:val="35134F1E"/>
    <w:rsid w:val="356D7C0D"/>
    <w:rsid w:val="35971C6B"/>
    <w:rsid w:val="36146073"/>
    <w:rsid w:val="36BA52C6"/>
    <w:rsid w:val="37040D59"/>
    <w:rsid w:val="371E4511"/>
    <w:rsid w:val="37922808"/>
    <w:rsid w:val="37C420BD"/>
    <w:rsid w:val="387B3D7E"/>
    <w:rsid w:val="389A4A0D"/>
    <w:rsid w:val="39A22AAB"/>
    <w:rsid w:val="3A0E0140"/>
    <w:rsid w:val="3A2B0CF2"/>
    <w:rsid w:val="3A6B7158"/>
    <w:rsid w:val="3A813BCE"/>
    <w:rsid w:val="3AA7481D"/>
    <w:rsid w:val="3B1F13A3"/>
    <w:rsid w:val="3B245E6D"/>
    <w:rsid w:val="3B306905"/>
    <w:rsid w:val="3C660BC5"/>
    <w:rsid w:val="3CF053BE"/>
    <w:rsid w:val="3CF940DA"/>
    <w:rsid w:val="3D015706"/>
    <w:rsid w:val="3DB1150E"/>
    <w:rsid w:val="3DD5344F"/>
    <w:rsid w:val="3E0C2BE9"/>
    <w:rsid w:val="3EAD5442"/>
    <w:rsid w:val="40792EE3"/>
    <w:rsid w:val="40842F0A"/>
    <w:rsid w:val="408847A8"/>
    <w:rsid w:val="40964384"/>
    <w:rsid w:val="40BE723A"/>
    <w:rsid w:val="40CD665F"/>
    <w:rsid w:val="40D43E92"/>
    <w:rsid w:val="414F312D"/>
    <w:rsid w:val="418D5DEE"/>
    <w:rsid w:val="42044303"/>
    <w:rsid w:val="42265DBD"/>
    <w:rsid w:val="42DD6902"/>
    <w:rsid w:val="42E257E4"/>
    <w:rsid w:val="42EB101F"/>
    <w:rsid w:val="436C03B1"/>
    <w:rsid w:val="44AA5C2B"/>
    <w:rsid w:val="450B1E4C"/>
    <w:rsid w:val="451707F1"/>
    <w:rsid w:val="45317DC6"/>
    <w:rsid w:val="4548395C"/>
    <w:rsid w:val="463A4797"/>
    <w:rsid w:val="4665558C"/>
    <w:rsid w:val="467909B7"/>
    <w:rsid w:val="467A1BA5"/>
    <w:rsid w:val="46DA7D28"/>
    <w:rsid w:val="470703F1"/>
    <w:rsid w:val="478F54C6"/>
    <w:rsid w:val="47BE31A6"/>
    <w:rsid w:val="482079BC"/>
    <w:rsid w:val="48360F8E"/>
    <w:rsid w:val="493E081D"/>
    <w:rsid w:val="49520049"/>
    <w:rsid w:val="49995C78"/>
    <w:rsid w:val="49C56A6D"/>
    <w:rsid w:val="4A6A3171"/>
    <w:rsid w:val="4A723D5D"/>
    <w:rsid w:val="4AA03036"/>
    <w:rsid w:val="4AA541A9"/>
    <w:rsid w:val="4B8D7E6C"/>
    <w:rsid w:val="4C137CE3"/>
    <w:rsid w:val="4CC0176E"/>
    <w:rsid w:val="4CC624B4"/>
    <w:rsid w:val="4CC90623"/>
    <w:rsid w:val="4CD41741"/>
    <w:rsid w:val="4D1D271C"/>
    <w:rsid w:val="4D5D0D6B"/>
    <w:rsid w:val="4DF01BDF"/>
    <w:rsid w:val="4E447918"/>
    <w:rsid w:val="4E451F2B"/>
    <w:rsid w:val="4E4D56F7"/>
    <w:rsid w:val="4F756840"/>
    <w:rsid w:val="4FEE214E"/>
    <w:rsid w:val="50283BFC"/>
    <w:rsid w:val="504306EC"/>
    <w:rsid w:val="50491BDF"/>
    <w:rsid w:val="50810EF2"/>
    <w:rsid w:val="510E0CFA"/>
    <w:rsid w:val="511D718F"/>
    <w:rsid w:val="512027DB"/>
    <w:rsid w:val="51505A58"/>
    <w:rsid w:val="518E1E3B"/>
    <w:rsid w:val="51BA7046"/>
    <w:rsid w:val="52486249"/>
    <w:rsid w:val="529F5F85"/>
    <w:rsid w:val="53511372"/>
    <w:rsid w:val="538434F5"/>
    <w:rsid w:val="53E43F94"/>
    <w:rsid w:val="540B1521"/>
    <w:rsid w:val="541F4FCC"/>
    <w:rsid w:val="542D4059"/>
    <w:rsid w:val="54692FE1"/>
    <w:rsid w:val="54C31DFB"/>
    <w:rsid w:val="551E38B0"/>
    <w:rsid w:val="55713605"/>
    <w:rsid w:val="559856FE"/>
    <w:rsid w:val="55D32512"/>
    <w:rsid w:val="562B5EAA"/>
    <w:rsid w:val="5632548A"/>
    <w:rsid w:val="56DF4229"/>
    <w:rsid w:val="571B5F1F"/>
    <w:rsid w:val="576F626A"/>
    <w:rsid w:val="58283534"/>
    <w:rsid w:val="582E1C82"/>
    <w:rsid w:val="592B61C1"/>
    <w:rsid w:val="59A66082"/>
    <w:rsid w:val="59E448A1"/>
    <w:rsid w:val="5A2E7D17"/>
    <w:rsid w:val="5A5F25C6"/>
    <w:rsid w:val="5A751DEA"/>
    <w:rsid w:val="5A8262B5"/>
    <w:rsid w:val="5AC95C92"/>
    <w:rsid w:val="5B5437AD"/>
    <w:rsid w:val="5B5C6B06"/>
    <w:rsid w:val="5B721E85"/>
    <w:rsid w:val="5B90055D"/>
    <w:rsid w:val="5B907067"/>
    <w:rsid w:val="5C2A6C04"/>
    <w:rsid w:val="5CA442C0"/>
    <w:rsid w:val="5D201AFA"/>
    <w:rsid w:val="5D487609"/>
    <w:rsid w:val="5DEB0883"/>
    <w:rsid w:val="5E345B18"/>
    <w:rsid w:val="5E4C4C10"/>
    <w:rsid w:val="5EBD3EAF"/>
    <w:rsid w:val="5F88611B"/>
    <w:rsid w:val="603718EF"/>
    <w:rsid w:val="607D4EB4"/>
    <w:rsid w:val="611539DF"/>
    <w:rsid w:val="61251748"/>
    <w:rsid w:val="61501406"/>
    <w:rsid w:val="61F01D56"/>
    <w:rsid w:val="62024825"/>
    <w:rsid w:val="621E2D67"/>
    <w:rsid w:val="62674875"/>
    <w:rsid w:val="63C86DC4"/>
    <w:rsid w:val="64137F7D"/>
    <w:rsid w:val="64490DB8"/>
    <w:rsid w:val="64760C38"/>
    <w:rsid w:val="64D94C97"/>
    <w:rsid w:val="64E30AAF"/>
    <w:rsid w:val="65317DAE"/>
    <w:rsid w:val="656960A7"/>
    <w:rsid w:val="656B0071"/>
    <w:rsid w:val="668E5A17"/>
    <w:rsid w:val="68273FF7"/>
    <w:rsid w:val="68CF6B69"/>
    <w:rsid w:val="69603260"/>
    <w:rsid w:val="699D27C3"/>
    <w:rsid w:val="69B83AA1"/>
    <w:rsid w:val="69E228CC"/>
    <w:rsid w:val="6A3A6F85"/>
    <w:rsid w:val="6AFB1E97"/>
    <w:rsid w:val="6B511AB7"/>
    <w:rsid w:val="6BF07522"/>
    <w:rsid w:val="6CC527D6"/>
    <w:rsid w:val="6D390A55"/>
    <w:rsid w:val="6D806684"/>
    <w:rsid w:val="6DD53C0F"/>
    <w:rsid w:val="6DD54C21"/>
    <w:rsid w:val="6E873A42"/>
    <w:rsid w:val="6EAB7730"/>
    <w:rsid w:val="6ED749C9"/>
    <w:rsid w:val="6ED924EF"/>
    <w:rsid w:val="708C3DF4"/>
    <w:rsid w:val="70A02B99"/>
    <w:rsid w:val="713954C7"/>
    <w:rsid w:val="715E0A8A"/>
    <w:rsid w:val="71716D5C"/>
    <w:rsid w:val="718D25D2"/>
    <w:rsid w:val="72AD5F43"/>
    <w:rsid w:val="72AE7E0E"/>
    <w:rsid w:val="72C95059"/>
    <w:rsid w:val="72ED386C"/>
    <w:rsid w:val="730D3E89"/>
    <w:rsid w:val="73730F33"/>
    <w:rsid w:val="740F6E0E"/>
    <w:rsid w:val="745443C6"/>
    <w:rsid w:val="74BE2D5E"/>
    <w:rsid w:val="751122B7"/>
    <w:rsid w:val="755F3023"/>
    <w:rsid w:val="75BF67C5"/>
    <w:rsid w:val="760A5684"/>
    <w:rsid w:val="761459A6"/>
    <w:rsid w:val="76477D64"/>
    <w:rsid w:val="7731354F"/>
    <w:rsid w:val="77A11AA4"/>
    <w:rsid w:val="77DD62BE"/>
    <w:rsid w:val="79246A5D"/>
    <w:rsid w:val="7AA468E0"/>
    <w:rsid w:val="7ABE6A3D"/>
    <w:rsid w:val="7B0411AF"/>
    <w:rsid w:val="7B391C4E"/>
    <w:rsid w:val="7B4E1B6F"/>
    <w:rsid w:val="7B5B428C"/>
    <w:rsid w:val="7B6969A9"/>
    <w:rsid w:val="7BF7386B"/>
    <w:rsid w:val="7C4E553E"/>
    <w:rsid w:val="7C916F2F"/>
    <w:rsid w:val="7CBA3C1C"/>
    <w:rsid w:val="7D8A2272"/>
    <w:rsid w:val="7DDE4023"/>
    <w:rsid w:val="7EAD12A3"/>
    <w:rsid w:val="7EB46269"/>
    <w:rsid w:val="7EC263A7"/>
    <w:rsid w:val="7F361298"/>
    <w:rsid w:val="7F4219EB"/>
    <w:rsid w:val="7F4C4618"/>
    <w:rsid w:val="7F9F7384"/>
    <w:rsid w:val="7FBB237D"/>
    <w:rsid w:val="7FFA4074"/>
    <w:rsid w:val="7FFF7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sz w:val="24"/>
    </w:rPr>
  </w:style>
  <w:style w:type="paragraph" w:styleId="3">
    <w:name w:val="annotation text"/>
    <w:basedOn w:val="1"/>
    <w:link w:val="13"/>
    <w:unhideWhenUsed/>
    <w:qFormat/>
    <w:uiPriority w:val="0"/>
    <w:pPr>
      <w:jc w:val="left"/>
    </w:pPr>
    <w:rPr>
      <w:rFonts w:asciiTheme="minorHAnsi" w:hAnsiTheme="minorHAnsi" w:eastAsiaTheme="minorEastAsia" w:cstheme="minorBidi"/>
    </w:rPr>
  </w:style>
  <w:style w:type="paragraph" w:styleId="4">
    <w:name w:val="Balloon Text"/>
    <w:basedOn w:val="1"/>
    <w:link w:val="15"/>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semiHidden/>
    <w:unhideWhenUsed/>
    <w:qFormat/>
    <w:uiPriority w:val="99"/>
    <w:rPr>
      <w:rFonts w:ascii="Times New Roman" w:hAnsi="Times New Roman" w:eastAsia="宋体" w:cs="Times New Roman"/>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0"/>
    <w:rPr>
      <w:sz w:val="21"/>
      <w:szCs w:val="21"/>
    </w:rPr>
  </w:style>
  <w:style w:type="character" w:customStyle="1" w:styleId="13">
    <w:name w:val="批注文字 Char"/>
    <w:link w:val="3"/>
    <w:qFormat/>
    <w:uiPriority w:val="0"/>
    <w:rPr>
      <w:szCs w:val="24"/>
    </w:rPr>
  </w:style>
  <w:style w:type="character" w:customStyle="1" w:styleId="14">
    <w:name w:val="批注文字 Char1"/>
    <w:basedOn w:val="11"/>
    <w:semiHidden/>
    <w:qFormat/>
    <w:uiPriority w:val="99"/>
    <w:rPr>
      <w:rFonts w:ascii="Times New Roman" w:hAnsi="Times New Roman" w:eastAsia="宋体" w:cs="Times New Roman"/>
      <w:szCs w:val="24"/>
    </w:rPr>
  </w:style>
  <w:style w:type="character" w:customStyle="1" w:styleId="15">
    <w:name w:val="批注框文本 Char"/>
    <w:basedOn w:val="11"/>
    <w:link w:val="4"/>
    <w:semiHidden/>
    <w:qFormat/>
    <w:uiPriority w:val="99"/>
    <w:rPr>
      <w:rFonts w:ascii="Times New Roman" w:hAnsi="Times New Roman" w:eastAsia="宋体" w:cs="Times New Roman"/>
      <w:sz w:val="18"/>
      <w:szCs w:val="18"/>
    </w:rPr>
  </w:style>
  <w:style w:type="character" w:customStyle="1" w:styleId="16">
    <w:name w:val="批注主题 Char"/>
    <w:basedOn w:val="13"/>
    <w:link w:val="8"/>
    <w:semiHidden/>
    <w:qFormat/>
    <w:uiPriority w:val="99"/>
    <w:rPr>
      <w:rFonts w:ascii="Times New Roman" w:hAnsi="Times New Roman" w:eastAsia="宋体" w:cs="Times New Roman"/>
      <w:b/>
      <w:bCs/>
      <w:szCs w:val="24"/>
    </w:rPr>
  </w:style>
  <w:style w:type="character" w:customStyle="1" w:styleId="17">
    <w:name w:val="页眉 Char"/>
    <w:basedOn w:val="11"/>
    <w:link w:val="6"/>
    <w:qFormat/>
    <w:uiPriority w:val="99"/>
    <w:rPr>
      <w:rFonts w:ascii="Times New Roman" w:hAnsi="Times New Roman" w:eastAsia="宋体" w:cs="Times New Roman"/>
      <w:sz w:val="18"/>
      <w:szCs w:val="18"/>
    </w:rPr>
  </w:style>
  <w:style w:type="character" w:customStyle="1" w:styleId="18">
    <w:name w:val="页脚 Char"/>
    <w:basedOn w:val="11"/>
    <w:link w:val="5"/>
    <w:qFormat/>
    <w:uiPriority w:val="99"/>
    <w:rPr>
      <w:rFonts w:ascii="Times New Roman" w:hAnsi="Times New Roman" w:eastAsia="宋体" w:cs="Times New Roman"/>
      <w:sz w:val="18"/>
      <w:szCs w:val="18"/>
    </w:rPr>
  </w:style>
  <w:style w:type="character" w:customStyle="1" w:styleId="19">
    <w:name w:val="文档结构图 Char"/>
    <w:basedOn w:val="11"/>
    <w:link w:val="2"/>
    <w:semiHidden/>
    <w:qFormat/>
    <w:uiPriority w:val="99"/>
    <w:rPr>
      <w:rFonts w:ascii="Times New Roman" w:hAnsi="Times New Roman" w:eastAsia="宋体" w:cs="Times New Roman"/>
      <w:sz w:val="24"/>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ECD92-6D7F-4211-898C-A395A218C86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27</Pages>
  <Words>2861</Words>
  <Characters>16312</Characters>
  <Lines>135</Lines>
  <Paragraphs>38</Paragraphs>
  <TotalTime>113</TotalTime>
  <ScaleCrop>false</ScaleCrop>
  <LinksUpToDate>false</LinksUpToDate>
  <CharactersWithSpaces>19135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2022-09-02T07:04:00Z</dcterms:created>
  <dc:creator>吴健/法务合同部/交通实业公司/CICO</dc:creator>
  <cp:lastModifiedBy>张文妍</cp:lastModifiedBy>
  <cp:lastPrinted>2023-05-09T00:58:00Z</cp:lastPrinted>
  <dcterms:modified xsi:type="dcterms:W3CDTF">2023-05-25T03:19:04Z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A2EC02304C2245E78F3AD6E88E38BA2A_13</vt:lpwstr>
  </property>
</Properties>
</file>