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7DD618">
      <w:pPr>
        <w:pStyle w:val="4"/>
        <w:spacing w:before="4"/>
        <w:rPr>
          <w:rFonts w:ascii="等线"/>
          <w:b/>
          <w:sz w:val="18"/>
        </w:rPr>
      </w:pPr>
    </w:p>
    <w:p w14:paraId="1DA440C1">
      <w:pPr>
        <w:pStyle w:val="4"/>
        <w:spacing w:before="4"/>
        <w:rPr>
          <w:rFonts w:hint="default" w:ascii="等线" w:eastAsia="仿宋_GB2312"/>
          <w:b/>
          <w:sz w:val="18"/>
          <w:lang w:val="en-US" w:eastAsia="zh-CN"/>
        </w:rPr>
      </w:pPr>
      <w:r>
        <w:rPr>
          <w:rFonts w:hint="eastAsia" w:ascii="等线"/>
          <w:b/>
          <w:sz w:val="18"/>
          <w:lang w:val="en-US" w:eastAsia="zh-CN"/>
        </w:rPr>
        <w:t xml:space="preserve">                                                                 </w:t>
      </w:r>
      <w:r>
        <w:rPr>
          <w:rFonts w:hint="eastAsia" w:ascii="等线"/>
          <w:b/>
          <w:sz w:val="52"/>
          <w:szCs w:val="52"/>
          <w:lang w:val="en-US" w:eastAsia="zh-CN"/>
        </w:rPr>
        <w:t xml:space="preserve">    报价函</w:t>
      </w:r>
    </w:p>
    <w:p w14:paraId="5B8C6A3D">
      <w:pPr>
        <w:pStyle w:val="4"/>
        <w:spacing w:before="4"/>
        <w:rPr>
          <w:rFonts w:ascii="等线"/>
          <w:b/>
          <w:sz w:val="18"/>
        </w:rPr>
      </w:pPr>
    </w:p>
    <w:p w14:paraId="3C278793">
      <w:pPr>
        <w:pStyle w:val="4"/>
        <w:spacing w:before="4"/>
        <w:rPr>
          <w:rFonts w:ascii="等线"/>
          <w:b/>
          <w:sz w:val="18"/>
        </w:rPr>
      </w:pPr>
    </w:p>
    <w:tbl>
      <w:tblPr>
        <w:tblStyle w:val="6"/>
        <w:tblW w:w="0" w:type="auto"/>
        <w:tblInd w:w="11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89"/>
        <w:gridCol w:w="5783"/>
      </w:tblGrid>
      <w:tr w14:paraId="55CA7B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2689" w:type="dxa"/>
          </w:tcPr>
          <w:p w14:paraId="111C1E95">
            <w:pPr>
              <w:pStyle w:val="18"/>
              <w:spacing w:before="82"/>
              <w:ind w:left="863"/>
              <w:rPr>
                <w:sz w:val="24"/>
              </w:rPr>
            </w:pPr>
            <w:r>
              <w:rPr>
                <w:sz w:val="24"/>
              </w:rPr>
              <w:t>项目名称</w:t>
            </w:r>
          </w:p>
        </w:tc>
        <w:tc>
          <w:tcPr>
            <w:tcW w:w="5783" w:type="dxa"/>
          </w:tcPr>
          <w:p w14:paraId="7D311FCD">
            <w:pPr>
              <w:pStyle w:val="18"/>
              <w:spacing w:before="80"/>
              <w:ind w:left="1687" w:right="1645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常山服务区零食零售</w:t>
            </w:r>
            <w:r>
              <w:rPr>
                <w:sz w:val="24"/>
              </w:rPr>
              <w:t>类项目</w:t>
            </w:r>
          </w:p>
        </w:tc>
      </w:tr>
      <w:tr w14:paraId="49170D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2689" w:type="dxa"/>
          </w:tcPr>
          <w:p w14:paraId="3CF3FD58">
            <w:pPr>
              <w:pStyle w:val="18"/>
              <w:spacing w:before="82"/>
              <w:ind w:right="553"/>
              <w:jc w:val="right"/>
              <w:rPr>
                <w:sz w:val="24"/>
              </w:rPr>
            </w:pPr>
            <w:r>
              <w:rPr>
                <w:sz w:val="24"/>
              </w:rPr>
              <w:t>项目品牌 范围</w:t>
            </w:r>
          </w:p>
        </w:tc>
        <w:tc>
          <w:tcPr>
            <w:tcW w:w="5783" w:type="dxa"/>
          </w:tcPr>
          <w:p w14:paraId="7E0B24B4">
            <w:pPr>
              <w:pStyle w:val="18"/>
              <w:spacing w:before="79"/>
              <w:ind w:left="1687" w:right="1645"/>
              <w:jc w:val="center"/>
              <w:rPr>
                <w:sz w:val="24"/>
              </w:rPr>
            </w:pPr>
            <w:r>
              <w:rPr>
                <w:sz w:val="24"/>
              </w:rPr>
              <w:t>XX/XXX</w:t>
            </w:r>
          </w:p>
        </w:tc>
      </w:tr>
      <w:tr w14:paraId="323E4E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0" w:hRule="atLeast"/>
        </w:trPr>
        <w:tc>
          <w:tcPr>
            <w:tcW w:w="2689" w:type="dxa"/>
          </w:tcPr>
          <w:p w14:paraId="01399C87">
            <w:pPr>
              <w:pStyle w:val="18"/>
              <w:spacing w:before="199"/>
              <w:ind w:left="243" w:right="235"/>
              <w:jc w:val="center"/>
              <w:rPr>
                <w:rFonts w:hint="default" w:eastAsia="仿宋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年</w:t>
            </w:r>
            <w:r>
              <w:rPr>
                <w:sz w:val="24"/>
              </w:rPr>
              <w:t>限低</w:t>
            </w:r>
            <w:r>
              <w:rPr>
                <w:rFonts w:hint="eastAsia"/>
                <w:sz w:val="24"/>
                <w:lang w:val="en-US" w:eastAsia="zh-CN"/>
              </w:rPr>
              <w:t>对客营业额</w:t>
            </w:r>
          </w:p>
          <w:p w14:paraId="6B8EAA9C">
            <w:pPr>
              <w:pStyle w:val="18"/>
              <w:spacing w:before="160"/>
              <w:ind w:left="243" w:right="235"/>
              <w:jc w:val="center"/>
              <w:rPr>
                <w:sz w:val="24"/>
              </w:rPr>
            </w:pPr>
            <w:r>
              <w:rPr>
                <w:sz w:val="24"/>
              </w:rPr>
              <w:t>（万元）</w:t>
            </w:r>
          </w:p>
        </w:tc>
        <w:tc>
          <w:tcPr>
            <w:tcW w:w="5783" w:type="dxa"/>
          </w:tcPr>
          <w:p w14:paraId="151FA636">
            <w:pPr>
              <w:pStyle w:val="18"/>
              <w:spacing w:before="10"/>
              <w:rPr>
                <w:rFonts w:ascii="等线"/>
                <w:b/>
                <w:sz w:val="28"/>
              </w:rPr>
            </w:pPr>
          </w:p>
          <w:p w14:paraId="484E3F72">
            <w:pPr>
              <w:pStyle w:val="18"/>
              <w:jc w:val="center"/>
              <w:rPr>
                <w:rFonts w:hint="default" w:eastAsia="仿宋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24.23</w:t>
            </w:r>
            <w:bookmarkStart w:id="0" w:name="_GoBack"/>
            <w:bookmarkEnd w:id="0"/>
            <w:r>
              <w:rPr>
                <w:sz w:val="24"/>
              </w:rPr>
              <w:t>万元</w:t>
            </w:r>
            <w:r>
              <w:rPr>
                <w:rFonts w:hint="eastAsia"/>
                <w:sz w:val="24"/>
                <w:lang w:eastAsia="zh-CN"/>
              </w:rPr>
              <w:t>，</w:t>
            </w:r>
            <w:r>
              <w:rPr>
                <w:rFonts w:hint="eastAsia"/>
                <w:sz w:val="24"/>
                <w:lang w:val="en-US" w:eastAsia="zh-CN"/>
              </w:rPr>
              <w:t>提成比例20%。</w:t>
            </w:r>
          </w:p>
        </w:tc>
      </w:tr>
      <w:tr w14:paraId="75BBA1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</w:trPr>
        <w:tc>
          <w:tcPr>
            <w:tcW w:w="2689" w:type="dxa"/>
          </w:tcPr>
          <w:p w14:paraId="0FF8D76D">
            <w:pPr>
              <w:pStyle w:val="18"/>
              <w:spacing w:before="82"/>
              <w:ind w:left="243" w:right="235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年基准对客营业额</w:t>
            </w:r>
            <w:r>
              <w:rPr>
                <w:sz w:val="24"/>
              </w:rPr>
              <w:t>报价（万元）</w:t>
            </w:r>
          </w:p>
        </w:tc>
        <w:tc>
          <w:tcPr>
            <w:tcW w:w="5783" w:type="dxa"/>
          </w:tcPr>
          <w:p w14:paraId="5C6803F9">
            <w:pPr>
              <w:pStyle w:val="18"/>
              <w:rPr>
                <w:rFonts w:ascii="Times New Roman"/>
                <w:sz w:val="22"/>
              </w:rPr>
            </w:pPr>
          </w:p>
        </w:tc>
      </w:tr>
      <w:tr w14:paraId="575319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6" w:hRule="atLeast"/>
        </w:trPr>
        <w:tc>
          <w:tcPr>
            <w:tcW w:w="2689" w:type="dxa"/>
          </w:tcPr>
          <w:p w14:paraId="5126FFD3">
            <w:pPr>
              <w:pStyle w:val="18"/>
              <w:rPr>
                <w:rFonts w:ascii="等线"/>
                <w:b/>
                <w:sz w:val="28"/>
              </w:rPr>
            </w:pPr>
          </w:p>
          <w:p w14:paraId="35E981EF">
            <w:pPr>
              <w:pStyle w:val="18"/>
              <w:rPr>
                <w:rFonts w:ascii="等线"/>
                <w:b/>
                <w:sz w:val="28"/>
              </w:rPr>
            </w:pPr>
          </w:p>
          <w:p w14:paraId="3AAD1978">
            <w:pPr>
              <w:pStyle w:val="18"/>
              <w:rPr>
                <w:rFonts w:ascii="等线"/>
                <w:b/>
                <w:sz w:val="28"/>
              </w:rPr>
            </w:pPr>
          </w:p>
          <w:p w14:paraId="1ACF3D68">
            <w:pPr>
              <w:pStyle w:val="18"/>
              <w:rPr>
                <w:rFonts w:ascii="等线"/>
                <w:b/>
                <w:sz w:val="28"/>
              </w:rPr>
            </w:pPr>
          </w:p>
          <w:p w14:paraId="0090DED2">
            <w:pPr>
              <w:pStyle w:val="18"/>
              <w:spacing w:before="1"/>
              <w:rPr>
                <w:rFonts w:ascii="等线"/>
                <w:b/>
                <w:sz w:val="30"/>
              </w:rPr>
            </w:pPr>
          </w:p>
          <w:p w14:paraId="5FD334B2">
            <w:pPr>
              <w:pStyle w:val="18"/>
              <w:ind w:right="493"/>
              <w:jc w:val="right"/>
              <w:rPr>
                <w:sz w:val="28"/>
              </w:rPr>
            </w:pPr>
            <w:r>
              <w:rPr>
                <w:sz w:val="28"/>
              </w:rPr>
              <w:t>其他认同事项</w:t>
            </w:r>
          </w:p>
        </w:tc>
        <w:tc>
          <w:tcPr>
            <w:tcW w:w="5783" w:type="dxa"/>
          </w:tcPr>
          <w:p w14:paraId="203BFC29">
            <w:pPr>
              <w:pStyle w:val="5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rFonts w:hint="eastAsia" w:ascii="仿宋_GB2312" w:eastAsia="仿宋_GB2312" w:cs="仿宋_GB2312"/>
                <w:color w:val="000000"/>
                <w:sz w:val="21"/>
                <w:szCs w:val="21"/>
              </w:rPr>
              <w:t>1.响应人按照同城同价的原则经营，商品或服务的定价不高于品牌门店城市标准价格体系，且接受商业集团价格体系管控要求；</w:t>
            </w:r>
          </w:p>
          <w:p w14:paraId="1BF0A91F">
            <w:pPr>
              <w:pStyle w:val="5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rFonts w:hint="eastAsia" w:ascii="仿宋_GB2312" w:eastAsia="仿宋_GB2312" w:cs="仿宋_GB2312"/>
                <w:color w:val="000000"/>
                <w:sz w:val="21"/>
                <w:szCs w:val="21"/>
              </w:rPr>
              <w:t>2.响应人品牌项目所经营品类，需符合品牌自身标准门店经营范围，且经营品类需经甲方审批，甲方有权对经营品类进行合理限制；</w:t>
            </w:r>
          </w:p>
          <w:p w14:paraId="7F7A456C">
            <w:pPr>
              <w:pStyle w:val="5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rFonts w:hint="eastAsia" w:ascii="仿宋_GB2312" w:eastAsia="仿宋_GB2312" w:cs="仿宋_GB2312"/>
                <w:color w:val="000000"/>
                <w:sz w:val="21"/>
                <w:szCs w:val="21"/>
              </w:rPr>
              <w:t>3.响应人对现场物业条件已经明确，如进场后需要进行调整的，相关费用由响应人自行承担；</w:t>
            </w:r>
          </w:p>
          <w:p w14:paraId="69C50D2A">
            <w:pPr>
              <w:pStyle w:val="5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rFonts w:hint="eastAsia" w:ascii="仿宋_GB2312" w:eastAsia="仿宋_GB2312" w:cs="仿宋_GB2312"/>
                <w:color w:val="000000"/>
                <w:sz w:val="21"/>
                <w:szCs w:val="21"/>
              </w:rPr>
              <w:t>4.响应人执行招商公告所列要求，签订商业集团标准合同，并履行营业收入代收代付模式；</w:t>
            </w:r>
          </w:p>
          <w:p w14:paraId="3CDFC316">
            <w:pPr>
              <w:pStyle w:val="5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rFonts w:hint="eastAsia" w:ascii="仿宋_GB2312" w:eastAsia="仿宋_GB2312" w:cs="仿宋_GB2312"/>
                <w:color w:val="000000"/>
                <w:sz w:val="21"/>
                <w:szCs w:val="21"/>
              </w:rPr>
              <w:t>5.中标人自接到中标通知书之日起5天内，缴纳履约保证金（1个月基准经营管理费或3个月基准经营管理费），并在要求时间内完成设计装修（入驻）方案，具体场地位置、面积服从服务区统一安排。中标人认同商业集团标准格式合同内容，并在要求时间范围内签订经营合同及遵从进场时间，如无故不履约或拖延进场，按弃标处理；</w:t>
            </w:r>
          </w:p>
          <w:p w14:paraId="4B6E743E">
            <w:pPr>
              <w:pStyle w:val="18"/>
              <w:numPr>
                <w:ilvl w:val="0"/>
                <w:numId w:val="1"/>
              </w:numPr>
              <w:tabs>
                <w:tab w:val="left" w:pos="329"/>
              </w:tabs>
              <w:spacing w:before="3" w:after="0" w:line="240" w:lineRule="auto"/>
              <w:ind w:left="328" w:right="0" w:hanging="223"/>
              <w:jc w:val="left"/>
              <w:rPr>
                <w:sz w:val="22"/>
              </w:rPr>
            </w:pPr>
            <w:r>
              <w:rPr>
                <w:rFonts w:hint="eastAsia" w:ascii="仿宋_GB2312" w:eastAsia="仿宋_GB2312" w:cs="仿宋_GB2312"/>
                <w:color w:val="000000"/>
                <w:sz w:val="21"/>
                <w:szCs w:val="21"/>
              </w:rPr>
              <w:t>6.本次谈判最终解释权归浙江省商业集团所有。</w:t>
            </w:r>
          </w:p>
        </w:tc>
      </w:tr>
    </w:tbl>
    <w:p w14:paraId="773A01E2">
      <w:pPr>
        <w:spacing w:after="0" w:line="240" w:lineRule="auto"/>
        <w:jc w:val="left"/>
        <w:rPr>
          <w:sz w:val="22"/>
        </w:rPr>
        <w:sectPr>
          <w:type w:val="continuous"/>
          <w:pgSz w:w="11910" w:h="16840"/>
          <w:pgMar w:top="1440" w:right="1540" w:bottom="280" w:left="1580" w:header="720" w:footer="720" w:gutter="0"/>
          <w:cols w:space="720" w:num="1"/>
        </w:sectPr>
      </w:pPr>
    </w:p>
    <w:p w14:paraId="32549356">
      <w:pPr>
        <w:spacing w:before="4"/>
        <w:ind w:left="220" w:right="0" w:firstLine="0"/>
        <w:jc w:val="left"/>
        <w:rPr>
          <w:rFonts w:hint="eastAsia" w:ascii="仿宋" w:eastAsia="仿宋"/>
          <w:sz w:val="22"/>
        </w:rPr>
      </w:pPr>
    </w:p>
    <w:p w14:paraId="2319BDCC">
      <w:pPr>
        <w:spacing w:before="4"/>
        <w:ind w:left="220" w:right="0" w:firstLine="0"/>
        <w:jc w:val="left"/>
        <w:rPr>
          <w:rFonts w:hint="eastAsia" w:ascii="仿宋" w:eastAsia="仿宋"/>
          <w:sz w:val="22"/>
        </w:rPr>
      </w:pPr>
      <w:r>
        <w:rPr>
          <w:rFonts w:hint="eastAsia" w:ascii="仿宋" w:eastAsia="仿宋"/>
          <w:sz w:val="22"/>
        </w:rPr>
        <w:t>谈判响应人：</w:t>
      </w:r>
      <w:r>
        <w:rPr>
          <w:rFonts w:hint="eastAsia" w:ascii="仿宋" w:eastAsia="仿宋"/>
          <w:sz w:val="22"/>
          <w:u w:val="single"/>
        </w:rPr>
        <w:t>（公司全称）（盖章）</w:t>
      </w:r>
    </w:p>
    <w:p w14:paraId="074AB0F0">
      <w:pPr>
        <w:tabs>
          <w:tab w:val="left" w:pos="1100"/>
        </w:tabs>
        <w:spacing w:before="73" w:line="304" w:lineRule="auto"/>
        <w:ind w:left="220" w:right="38" w:firstLine="0"/>
        <w:jc w:val="left"/>
        <w:rPr>
          <w:rFonts w:hint="eastAsia" w:ascii="仿宋" w:eastAsia="仿宋"/>
          <w:sz w:val="22"/>
        </w:rPr>
      </w:pPr>
    </w:p>
    <w:p w14:paraId="793B0820">
      <w:pPr>
        <w:tabs>
          <w:tab w:val="left" w:pos="1100"/>
        </w:tabs>
        <w:spacing w:before="73" w:line="304" w:lineRule="auto"/>
        <w:ind w:left="220" w:right="38" w:firstLine="0"/>
        <w:jc w:val="left"/>
        <w:rPr>
          <w:rFonts w:hint="eastAsia" w:ascii="仿宋" w:eastAsia="仿宋"/>
          <w:sz w:val="22"/>
          <w:u w:val="single"/>
        </w:rPr>
      </w:pPr>
      <w:r>
        <w:rPr>
          <w:rFonts w:hint="eastAsia" w:ascii="仿宋" w:eastAsia="仿宋"/>
          <w:sz w:val="22"/>
        </w:rPr>
        <w:t>法</w:t>
      </w:r>
      <w:r>
        <w:rPr>
          <w:rFonts w:hint="eastAsia" w:ascii="仿宋" w:eastAsia="仿宋"/>
          <w:spacing w:val="-3"/>
          <w:sz w:val="22"/>
        </w:rPr>
        <w:t>定</w:t>
      </w:r>
      <w:r>
        <w:rPr>
          <w:rFonts w:hint="eastAsia" w:ascii="仿宋" w:eastAsia="仿宋"/>
          <w:sz w:val="22"/>
        </w:rPr>
        <w:t>代表</w:t>
      </w:r>
      <w:r>
        <w:rPr>
          <w:rFonts w:hint="eastAsia" w:ascii="仿宋" w:eastAsia="仿宋"/>
          <w:spacing w:val="-3"/>
          <w:sz w:val="22"/>
        </w:rPr>
        <w:t>人</w:t>
      </w:r>
      <w:r>
        <w:rPr>
          <w:rFonts w:hint="eastAsia" w:ascii="仿宋" w:eastAsia="仿宋"/>
          <w:sz w:val="22"/>
        </w:rPr>
        <w:t>或其</w:t>
      </w:r>
      <w:r>
        <w:rPr>
          <w:rFonts w:hint="eastAsia" w:ascii="仿宋" w:eastAsia="仿宋"/>
          <w:spacing w:val="-3"/>
          <w:sz w:val="22"/>
        </w:rPr>
        <w:t>授</w:t>
      </w:r>
      <w:r>
        <w:rPr>
          <w:rFonts w:hint="eastAsia" w:ascii="仿宋" w:eastAsia="仿宋"/>
          <w:sz w:val="22"/>
        </w:rPr>
        <w:t>权的</w:t>
      </w:r>
      <w:r>
        <w:rPr>
          <w:rFonts w:hint="eastAsia" w:ascii="仿宋" w:eastAsia="仿宋"/>
          <w:spacing w:val="-3"/>
          <w:sz w:val="22"/>
        </w:rPr>
        <w:t>代</w:t>
      </w:r>
      <w:r>
        <w:rPr>
          <w:rFonts w:hint="eastAsia" w:ascii="仿宋" w:eastAsia="仿宋"/>
          <w:sz w:val="22"/>
        </w:rPr>
        <w:t>理人：</w:t>
      </w:r>
      <w:r>
        <w:rPr>
          <w:rFonts w:hint="eastAsia" w:ascii="仿宋" w:eastAsia="仿宋"/>
          <w:sz w:val="22"/>
          <w:u w:val="single"/>
        </w:rPr>
        <w:t>（</w:t>
      </w:r>
      <w:r>
        <w:rPr>
          <w:rFonts w:hint="eastAsia" w:ascii="仿宋" w:eastAsia="仿宋"/>
          <w:spacing w:val="-3"/>
          <w:sz w:val="22"/>
          <w:u w:val="single"/>
        </w:rPr>
        <w:t>签</w:t>
      </w:r>
      <w:r>
        <w:rPr>
          <w:rFonts w:hint="eastAsia" w:ascii="仿宋" w:eastAsia="仿宋"/>
          <w:sz w:val="22"/>
          <w:u w:val="single"/>
        </w:rPr>
        <w:t xml:space="preserve">字） </w:t>
      </w:r>
    </w:p>
    <w:p w14:paraId="2A4DBF7A">
      <w:pPr>
        <w:tabs>
          <w:tab w:val="left" w:pos="1100"/>
        </w:tabs>
        <w:spacing w:before="73" w:line="304" w:lineRule="auto"/>
        <w:ind w:right="38" w:firstLine="220" w:firstLineChars="100"/>
        <w:jc w:val="left"/>
        <w:rPr>
          <w:rFonts w:hint="eastAsia" w:ascii="仿宋" w:eastAsia="仿宋"/>
          <w:sz w:val="22"/>
        </w:rPr>
      </w:pPr>
      <w:r>
        <w:rPr>
          <w:rFonts w:hint="eastAsia" w:ascii="仿宋" w:eastAsia="仿宋"/>
          <w:sz w:val="22"/>
        </w:rPr>
        <w:t>地</w:t>
      </w:r>
      <w:r>
        <w:rPr>
          <w:rFonts w:hint="eastAsia" w:ascii="仿宋" w:eastAsia="仿宋"/>
          <w:sz w:val="22"/>
        </w:rPr>
        <w:tab/>
      </w:r>
      <w:r>
        <w:rPr>
          <w:rFonts w:hint="eastAsia" w:ascii="仿宋" w:eastAsia="仿宋"/>
          <w:sz w:val="22"/>
        </w:rPr>
        <w:t>址：</w:t>
      </w:r>
    </w:p>
    <w:p w14:paraId="7863B3FB">
      <w:pPr>
        <w:spacing w:before="0" w:line="304" w:lineRule="auto"/>
        <w:ind w:left="220" w:right="3006" w:firstLine="0"/>
        <w:jc w:val="left"/>
        <w:rPr>
          <w:rFonts w:hint="eastAsia" w:ascii="仿宋" w:eastAsia="仿宋"/>
          <w:sz w:val="22"/>
        </w:rPr>
      </w:pPr>
    </w:p>
    <w:p w14:paraId="63C85A2A">
      <w:pPr>
        <w:spacing w:before="0" w:line="304" w:lineRule="auto"/>
        <w:ind w:left="220" w:right="3006" w:firstLine="0"/>
        <w:jc w:val="left"/>
        <w:rPr>
          <w:rFonts w:hint="eastAsia" w:ascii="仿宋" w:eastAsia="仿宋"/>
          <w:sz w:val="22"/>
        </w:rPr>
      </w:pPr>
      <w:r>
        <w:rPr>
          <w:rFonts w:hint="eastAsia" w:ascii="仿宋" w:eastAsia="仿宋"/>
          <w:sz w:val="22"/>
        </w:rPr>
        <w:t xml:space="preserve">邮政编码： </w:t>
      </w:r>
    </w:p>
    <w:p w14:paraId="7DF70E23">
      <w:pPr>
        <w:spacing w:before="0" w:line="304" w:lineRule="auto"/>
        <w:ind w:left="220" w:right="3006" w:firstLine="0"/>
        <w:jc w:val="left"/>
        <w:rPr>
          <w:rFonts w:hint="eastAsia" w:ascii="仿宋" w:eastAsia="仿宋"/>
          <w:sz w:val="22"/>
        </w:rPr>
      </w:pPr>
      <w:r>
        <w:rPr>
          <w:rFonts w:hint="eastAsia" w:ascii="仿宋" w:eastAsia="仿宋"/>
          <w:sz w:val="22"/>
        </w:rPr>
        <w:t>电话：</w:t>
      </w:r>
    </w:p>
    <w:p w14:paraId="4A57FE1A">
      <w:pPr>
        <w:pStyle w:val="4"/>
        <w:rPr>
          <w:rFonts w:ascii="仿宋"/>
          <w:sz w:val="24"/>
        </w:rPr>
      </w:pPr>
      <w:r>
        <w:br w:type="column"/>
      </w:r>
    </w:p>
    <w:p w14:paraId="1F3B617B">
      <w:pPr>
        <w:pStyle w:val="4"/>
        <w:rPr>
          <w:rFonts w:ascii="仿宋"/>
          <w:sz w:val="24"/>
        </w:rPr>
      </w:pPr>
    </w:p>
    <w:p w14:paraId="085DF205">
      <w:pPr>
        <w:pStyle w:val="4"/>
        <w:rPr>
          <w:rFonts w:ascii="仿宋"/>
          <w:sz w:val="24"/>
        </w:rPr>
      </w:pPr>
    </w:p>
    <w:p w14:paraId="114729CC">
      <w:pPr>
        <w:pStyle w:val="4"/>
        <w:rPr>
          <w:rFonts w:ascii="仿宋"/>
          <w:sz w:val="24"/>
        </w:rPr>
      </w:pPr>
    </w:p>
    <w:p w14:paraId="3E188A45">
      <w:pPr>
        <w:pStyle w:val="4"/>
        <w:rPr>
          <w:rFonts w:ascii="仿宋"/>
          <w:sz w:val="24"/>
        </w:rPr>
      </w:pPr>
    </w:p>
    <w:p w14:paraId="681126F4">
      <w:pPr>
        <w:pStyle w:val="4"/>
        <w:spacing w:before="5"/>
        <w:rPr>
          <w:rFonts w:ascii="仿宋"/>
          <w:sz w:val="19"/>
        </w:rPr>
      </w:pPr>
    </w:p>
    <w:p w14:paraId="2C51853D">
      <w:pPr>
        <w:spacing w:after="0"/>
        <w:jc w:val="left"/>
        <w:rPr>
          <w:rFonts w:hint="eastAsia" w:ascii="仿宋" w:eastAsia="仿宋"/>
          <w:sz w:val="24"/>
        </w:rPr>
        <w:sectPr>
          <w:type w:val="continuous"/>
          <w:pgSz w:w="11910" w:h="16840"/>
          <w:pgMar w:top="1440" w:right="1540" w:bottom="280" w:left="1580" w:header="720" w:footer="720" w:gutter="0"/>
          <w:cols w:equalWidth="0" w:num="2">
            <w:col w:w="4330" w:space="2615"/>
            <w:col w:w="1845"/>
          </w:cols>
        </w:sectPr>
      </w:pPr>
    </w:p>
    <w:p w14:paraId="2F778E3E">
      <w:pPr>
        <w:pStyle w:val="4"/>
        <w:rPr>
          <w:rFonts w:ascii="仿宋"/>
          <w:sz w:val="20"/>
        </w:rPr>
      </w:pPr>
    </w:p>
    <w:p w14:paraId="3D4ACF82">
      <w:pPr>
        <w:pStyle w:val="4"/>
        <w:rPr>
          <w:rFonts w:ascii="仿宋"/>
          <w:sz w:val="20"/>
        </w:rPr>
      </w:pPr>
    </w:p>
    <w:p w14:paraId="012B52E3">
      <w:pPr>
        <w:pStyle w:val="4"/>
        <w:rPr>
          <w:rFonts w:ascii="仿宋"/>
          <w:sz w:val="20"/>
        </w:rPr>
      </w:pPr>
    </w:p>
    <w:p w14:paraId="299E8C98">
      <w:pPr>
        <w:pStyle w:val="4"/>
        <w:rPr>
          <w:rFonts w:ascii="仿宋"/>
          <w:sz w:val="20"/>
        </w:rPr>
      </w:pPr>
    </w:p>
    <w:p w14:paraId="04A40A15">
      <w:pPr>
        <w:pStyle w:val="4"/>
        <w:rPr>
          <w:rFonts w:ascii="仿宋"/>
          <w:sz w:val="20"/>
        </w:rPr>
      </w:pPr>
    </w:p>
    <w:p w14:paraId="52BB91C2">
      <w:pPr>
        <w:spacing w:before="0"/>
        <w:ind w:left="220" w:right="0" w:firstLine="6720" w:firstLineChars="2800"/>
        <w:jc w:val="left"/>
        <w:rPr>
          <w:rFonts w:hint="eastAsia" w:ascii="仿宋" w:eastAsia="仿宋"/>
          <w:sz w:val="24"/>
        </w:rPr>
      </w:pPr>
      <w:r>
        <w:rPr>
          <w:rFonts w:hint="eastAsia" w:ascii="仿宋" w:eastAsia="仿宋"/>
          <w:sz w:val="24"/>
        </w:rPr>
        <w:t>年</w:t>
      </w:r>
      <w:r>
        <w:rPr>
          <w:rFonts w:hint="eastAsia" w:ascii="仿宋" w:eastAsia="仿宋"/>
          <w:sz w:val="24"/>
          <w:lang w:val="en-US" w:eastAsia="zh-CN"/>
        </w:rPr>
        <w:t xml:space="preserve">    </w:t>
      </w:r>
      <w:r>
        <w:rPr>
          <w:rFonts w:hint="eastAsia" w:ascii="仿宋" w:eastAsia="仿宋"/>
          <w:sz w:val="24"/>
        </w:rPr>
        <w:t>月</w:t>
      </w:r>
      <w:r>
        <w:rPr>
          <w:rFonts w:hint="eastAsia" w:ascii="仿宋" w:eastAsia="仿宋"/>
          <w:sz w:val="24"/>
          <w:lang w:val="en-US" w:eastAsia="zh-CN"/>
        </w:rPr>
        <w:t xml:space="preserve">   </w:t>
      </w:r>
      <w:r>
        <w:rPr>
          <w:rFonts w:hint="eastAsia" w:ascii="仿宋" w:eastAsia="仿宋"/>
          <w:sz w:val="24"/>
        </w:rPr>
        <w:t>日</w:t>
      </w:r>
    </w:p>
    <w:p w14:paraId="468E14C2">
      <w:pPr>
        <w:pStyle w:val="4"/>
        <w:rPr>
          <w:rFonts w:ascii="仿宋"/>
          <w:sz w:val="20"/>
        </w:rPr>
      </w:pPr>
    </w:p>
    <w:p w14:paraId="0CBDB135">
      <w:pPr>
        <w:pStyle w:val="4"/>
        <w:rPr>
          <w:rFonts w:ascii="仿宋"/>
          <w:sz w:val="20"/>
        </w:rPr>
      </w:pPr>
    </w:p>
    <w:p w14:paraId="28F63A27">
      <w:pPr>
        <w:spacing w:before="64"/>
        <w:ind w:left="0" w:right="257" w:firstLine="0"/>
        <w:jc w:val="both"/>
        <w:rPr>
          <w:rFonts w:ascii="Calibri"/>
          <w:sz w:val="18"/>
        </w:rPr>
      </w:pPr>
    </w:p>
    <w:sectPr>
      <w:type w:val="continuous"/>
      <w:pgSz w:w="11910" w:h="16840"/>
      <w:pgMar w:top="1440" w:right="1540" w:bottom="280" w:left="158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2183CF9"/>
    <w:multiLevelType w:val="multilevel"/>
    <w:tmpl w:val="72183CF9"/>
    <w:lvl w:ilvl="0" w:tentative="0">
      <w:start w:val="1"/>
      <w:numFmt w:val="decimal"/>
      <w:lvlText w:val="%1."/>
      <w:lvlJc w:val="left"/>
      <w:pPr>
        <w:ind w:left="106" w:hanging="222"/>
        <w:jc w:val="left"/>
      </w:pPr>
      <w:rPr>
        <w:rFonts w:hint="default" w:ascii="仿宋" w:hAnsi="仿宋" w:eastAsia="仿宋" w:cs="仿宋"/>
        <w:spacing w:val="-1"/>
        <w:w w:val="100"/>
        <w:sz w:val="20"/>
        <w:szCs w:val="20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667" w:hanging="222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1234" w:hanging="222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1801" w:hanging="222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2369" w:hanging="222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2936" w:hanging="222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3503" w:hanging="222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4071" w:hanging="222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4638" w:hanging="222"/>
      </w:pPr>
      <w:rPr>
        <w:rFonts w:hint="default"/>
        <w:lang w:val="zh-CN" w:eastAsia="zh-CN" w:bidi="zh-C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VhM2JiNjIwM2E3ODE5N2Y2MzYwZGFlMjI4M2I1N2IifQ=="/>
  </w:docVars>
  <w:rsids>
    <w:rsidRoot w:val="00000000"/>
    <w:rsid w:val="00564C60"/>
    <w:rsid w:val="0132783D"/>
    <w:rsid w:val="02DA7FEC"/>
    <w:rsid w:val="0A2E0359"/>
    <w:rsid w:val="0BA74293"/>
    <w:rsid w:val="0C023978"/>
    <w:rsid w:val="11EB704F"/>
    <w:rsid w:val="12AE757D"/>
    <w:rsid w:val="13E27A03"/>
    <w:rsid w:val="1669632D"/>
    <w:rsid w:val="187A5778"/>
    <w:rsid w:val="1A8D6144"/>
    <w:rsid w:val="1A976C37"/>
    <w:rsid w:val="1BCB4EDC"/>
    <w:rsid w:val="1C9144E2"/>
    <w:rsid w:val="1CF523B1"/>
    <w:rsid w:val="1E2D340E"/>
    <w:rsid w:val="1E9E2852"/>
    <w:rsid w:val="219537A4"/>
    <w:rsid w:val="25492721"/>
    <w:rsid w:val="2F9163D6"/>
    <w:rsid w:val="2FFD0E93"/>
    <w:rsid w:val="3076213F"/>
    <w:rsid w:val="36F14BE1"/>
    <w:rsid w:val="3750340A"/>
    <w:rsid w:val="3A607580"/>
    <w:rsid w:val="3A6F0BDF"/>
    <w:rsid w:val="3EE57E40"/>
    <w:rsid w:val="48362157"/>
    <w:rsid w:val="4A735079"/>
    <w:rsid w:val="4D227D2D"/>
    <w:rsid w:val="4D391480"/>
    <w:rsid w:val="4DE9305B"/>
    <w:rsid w:val="50334212"/>
    <w:rsid w:val="50C148EA"/>
    <w:rsid w:val="59BE7035"/>
    <w:rsid w:val="59C279D7"/>
    <w:rsid w:val="5A7A3549"/>
    <w:rsid w:val="5CFA65D6"/>
    <w:rsid w:val="5E0D40E7"/>
    <w:rsid w:val="65A8649C"/>
    <w:rsid w:val="67732D24"/>
    <w:rsid w:val="67C75AAB"/>
    <w:rsid w:val="695F4434"/>
    <w:rsid w:val="696C260A"/>
    <w:rsid w:val="711905A8"/>
    <w:rsid w:val="72965704"/>
    <w:rsid w:val="730870E1"/>
    <w:rsid w:val="744E03BE"/>
    <w:rsid w:val="74A40EAA"/>
    <w:rsid w:val="792B181D"/>
    <w:rsid w:val="7A424123"/>
    <w:rsid w:val="7C29438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_GB2312" w:hAnsi="仿宋_GB2312" w:eastAsia="仿宋_GB2312" w:cs="仿宋_GB2312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autoRedefine/>
    <w:qFormat/>
    <w:uiPriority w:val="1"/>
    <w:pPr>
      <w:ind w:left="220" w:hanging="221"/>
      <w:outlineLvl w:val="1"/>
    </w:pPr>
    <w:rPr>
      <w:rFonts w:ascii="宋体" w:hAnsi="宋体" w:eastAsia="宋体" w:cs="宋体"/>
      <w:b/>
      <w:bCs/>
      <w:sz w:val="44"/>
      <w:szCs w:val="44"/>
      <w:lang w:val="zh-CN" w:eastAsia="zh-CN" w:bidi="zh-CN"/>
    </w:rPr>
  </w:style>
  <w:style w:type="paragraph" w:styleId="3">
    <w:name w:val="heading 2"/>
    <w:basedOn w:val="1"/>
    <w:next w:val="1"/>
    <w:autoRedefine/>
    <w:qFormat/>
    <w:uiPriority w:val="1"/>
    <w:pPr>
      <w:ind w:left="860"/>
      <w:outlineLvl w:val="2"/>
    </w:pPr>
    <w:rPr>
      <w:rFonts w:ascii="黑体" w:hAnsi="黑体" w:eastAsia="黑体" w:cs="黑体"/>
      <w:b/>
      <w:bCs/>
      <w:sz w:val="32"/>
      <w:szCs w:val="32"/>
      <w:lang w:val="zh-CN" w:eastAsia="zh-CN" w:bidi="zh-CN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autoRedefine/>
    <w:qFormat/>
    <w:uiPriority w:val="1"/>
    <w:rPr>
      <w:rFonts w:ascii="仿宋_GB2312" w:hAnsi="仿宋_GB2312" w:eastAsia="仿宋_GB2312" w:cs="仿宋_GB2312"/>
      <w:sz w:val="32"/>
      <w:szCs w:val="32"/>
      <w:lang w:val="zh-CN" w:eastAsia="zh-CN" w:bidi="zh-CN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FollowedHyperlink"/>
    <w:basedOn w:val="7"/>
    <w:autoRedefine/>
    <w:qFormat/>
    <w:uiPriority w:val="0"/>
    <w:rPr>
      <w:color w:val="426CAD"/>
      <w:u w:val="none"/>
    </w:rPr>
  </w:style>
  <w:style w:type="character" w:styleId="9">
    <w:name w:val="Emphasis"/>
    <w:basedOn w:val="7"/>
    <w:autoRedefine/>
    <w:qFormat/>
    <w:uiPriority w:val="0"/>
  </w:style>
  <w:style w:type="character" w:styleId="10">
    <w:name w:val="HTML Definition"/>
    <w:basedOn w:val="7"/>
    <w:autoRedefine/>
    <w:qFormat/>
    <w:uiPriority w:val="0"/>
  </w:style>
  <w:style w:type="character" w:styleId="11">
    <w:name w:val="HTML Acronym"/>
    <w:basedOn w:val="7"/>
    <w:autoRedefine/>
    <w:qFormat/>
    <w:uiPriority w:val="0"/>
  </w:style>
  <w:style w:type="character" w:styleId="12">
    <w:name w:val="HTML Variable"/>
    <w:basedOn w:val="7"/>
    <w:autoRedefine/>
    <w:qFormat/>
    <w:uiPriority w:val="0"/>
  </w:style>
  <w:style w:type="character" w:styleId="13">
    <w:name w:val="Hyperlink"/>
    <w:basedOn w:val="7"/>
    <w:autoRedefine/>
    <w:qFormat/>
    <w:uiPriority w:val="0"/>
    <w:rPr>
      <w:color w:val="426CAD"/>
      <w:u w:val="none"/>
    </w:rPr>
  </w:style>
  <w:style w:type="character" w:styleId="14">
    <w:name w:val="HTML Code"/>
    <w:basedOn w:val="7"/>
    <w:autoRedefine/>
    <w:qFormat/>
    <w:uiPriority w:val="0"/>
    <w:rPr>
      <w:rFonts w:ascii="Courier New" w:hAnsi="Courier New"/>
      <w:sz w:val="20"/>
    </w:rPr>
  </w:style>
  <w:style w:type="character" w:styleId="15">
    <w:name w:val="HTML Cite"/>
    <w:basedOn w:val="7"/>
    <w:autoRedefine/>
    <w:qFormat/>
    <w:uiPriority w:val="0"/>
  </w:style>
  <w:style w:type="table" w:customStyle="1" w:styleId="16">
    <w:name w:val="Table Normal"/>
    <w:autoRedefine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7">
    <w:name w:val="List Paragraph"/>
    <w:basedOn w:val="1"/>
    <w:autoRedefine/>
    <w:qFormat/>
    <w:uiPriority w:val="1"/>
    <w:pPr>
      <w:spacing w:before="3"/>
      <w:ind w:left="220" w:firstLine="640"/>
    </w:pPr>
    <w:rPr>
      <w:rFonts w:ascii="仿宋_GB2312" w:hAnsi="仿宋_GB2312" w:eastAsia="仿宋_GB2312" w:cs="仿宋_GB2312"/>
      <w:lang w:val="zh-CN" w:eastAsia="zh-CN" w:bidi="zh-CN"/>
    </w:rPr>
  </w:style>
  <w:style w:type="paragraph" w:customStyle="1" w:styleId="18">
    <w:name w:val="Table Paragraph"/>
    <w:basedOn w:val="1"/>
    <w:autoRedefine/>
    <w:qFormat/>
    <w:uiPriority w:val="1"/>
    <w:rPr>
      <w:rFonts w:ascii="仿宋" w:hAnsi="仿宋" w:eastAsia="仿宋" w:cs="仿宋"/>
      <w:lang w:val="zh-CN" w:eastAsia="zh-CN" w:bidi="zh-CN"/>
    </w:rPr>
  </w:style>
  <w:style w:type="character" w:customStyle="1" w:styleId="19">
    <w:name w:val="info1"/>
    <w:basedOn w:val="7"/>
    <w:autoRedefine/>
    <w:qFormat/>
    <w:uiPriority w:val="0"/>
    <w:rPr>
      <w:color w:val="999999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478</Words>
  <Characters>494</Characters>
  <TotalTime>4</TotalTime>
  <ScaleCrop>false</ScaleCrop>
  <LinksUpToDate>false</LinksUpToDate>
  <CharactersWithSpaces>574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2022-09-28T02:13:00Z</dcterms:created>
  <dc:creator>胡 俊</dc:creator>
  <cp:lastModifiedBy>✨Sori Na✨</cp:lastModifiedBy>
  <dcterms:modified xsi:type="dcterms:W3CDTF">2025-10-09T08:56:56Z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2022-09-23T00:00:00Z</vt:filetime>
  </property>
  <property fmtid="{D5CDD505-2E9C-101B-9397-08002B2CF9AE}" pid="3" name="Creator">
    <vt:lpwstr>WPS 文字</vt:lpwstr>
  </property>
  <property fmtid="{D5CDD505-2E9C-101B-9397-08002B2CF9AE}" pid="4" name="LastSaved">
    <vt:filetime>2022-09-28T00:00:00Z</vt:filetime>
  </property>
  <property fmtid="{D5CDD505-2E9C-101B-9397-08002B2CF9AE}" pid="5" name="KSOProductBuildVer">
    <vt:lpwstr>2052-12.1.0.22529</vt:lpwstr>
  </property>
  <property fmtid="{D5CDD505-2E9C-101B-9397-08002B2CF9AE}" pid="6" name="ICV">
    <vt:lpwstr>57671CAEF7954F2B8D1E3114E69D6945_13</vt:lpwstr>
  </property>
  <property fmtid="{D5CDD505-2E9C-101B-9397-08002B2CF9AE}" pid="7" name="KSOTemplateDocerSaveRecord">
    <vt:lpwstr>eyJoZGlkIjoiYWVhM2JiNjIwM2E3ODE5N2Y2MzYwZGFlMjI4M2I1N2IiLCJ1c2VySWQiOiIyMTg0OTgxNTIifQ==</vt:lpwstr>
  </property>
</Properties>
</file>