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115" w:rsidRDefault="00B6138D">
      <w:pPr>
        <w:jc w:val="center"/>
        <w:outlineLvl w:val="1"/>
        <w:rPr>
          <w:rFonts w:ascii="方正小标宋简体" w:eastAsia="方正小标宋简体" w:hAnsi="宋体" w:cs="宋体"/>
          <w:bCs/>
          <w:sz w:val="40"/>
          <w:szCs w:val="32"/>
        </w:rPr>
      </w:pPr>
      <w:r>
        <w:rPr>
          <w:rFonts w:ascii="方正小标宋简体" w:eastAsia="方正小标宋简体" w:hAnsi="宋体" w:cs="宋体" w:hint="eastAsia"/>
          <w:bCs/>
          <w:sz w:val="40"/>
          <w:szCs w:val="32"/>
        </w:rPr>
        <w:t>报价函</w:t>
      </w:r>
      <w:bookmarkStart w:id="0" w:name="_GoBack"/>
      <w:bookmarkEnd w:id="0"/>
    </w:p>
    <w:tbl>
      <w:tblPr>
        <w:tblpPr w:leftFromText="180" w:rightFromText="180" w:vertAnchor="text" w:horzAnchor="margin" w:tblpX="-91" w:tblpY="293"/>
        <w:tblW w:w="8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255"/>
      </w:tblGrid>
      <w:tr w:rsidR="00805115">
        <w:trPr>
          <w:trHeight w:val="416"/>
        </w:trPr>
        <w:tc>
          <w:tcPr>
            <w:tcW w:w="2411" w:type="dxa"/>
            <w:vAlign w:val="center"/>
          </w:tcPr>
          <w:p w:rsidR="00805115" w:rsidRDefault="00B6138D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:rsidR="00805115" w:rsidRDefault="00B613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舟山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服务区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小吃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</w:t>
            </w:r>
          </w:p>
        </w:tc>
      </w:tr>
      <w:tr w:rsidR="00805115">
        <w:trPr>
          <w:trHeight w:val="412"/>
        </w:trPr>
        <w:tc>
          <w:tcPr>
            <w:tcW w:w="2411" w:type="dxa"/>
            <w:vAlign w:val="center"/>
          </w:tcPr>
          <w:p w:rsidR="00805115" w:rsidRDefault="00B6138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项目品牌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经营范围</w:t>
            </w:r>
          </w:p>
        </w:tc>
        <w:tc>
          <w:tcPr>
            <w:tcW w:w="6255" w:type="dxa"/>
            <w:vAlign w:val="center"/>
          </w:tcPr>
          <w:p w:rsidR="00805115" w:rsidRDefault="00805115">
            <w:pPr>
              <w:adjustRightInd w:val="0"/>
              <w:snapToGrid w:val="0"/>
              <w:ind w:firstLineChars="14" w:firstLine="3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05115">
        <w:trPr>
          <w:trHeight w:val="580"/>
        </w:trPr>
        <w:tc>
          <w:tcPr>
            <w:tcW w:w="2411" w:type="dxa"/>
            <w:vAlign w:val="center"/>
          </w:tcPr>
          <w:p w:rsidR="00805115" w:rsidRDefault="00B6138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基准和超额提成比例</w:t>
            </w:r>
          </w:p>
        </w:tc>
        <w:tc>
          <w:tcPr>
            <w:tcW w:w="6255" w:type="dxa"/>
            <w:vAlign w:val="center"/>
          </w:tcPr>
          <w:p w:rsidR="00805115" w:rsidRDefault="00B6138D">
            <w:pPr>
              <w:spacing w:line="360" w:lineRule="auto"/>
              <w:ind w:firstLineChars="14" w:firstLine="3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</w:p>
        </w:tc>
      </w:tr>
      <w:tr w:rsidR="00805115">
        <w:trPr>
          <w:trHeight w:val="563"/>
        </w:trPr>
        <w:tc>
          <w:tcPr>
            <w:tcW w:w="2411" w:type="dxa"/>
            <w:vAlign w:val="center"/>
          </w:tcPr>
          <w:p w:rsidR="00805115" w:rsidRDefault="00B613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年基准营业额限低</w:t>
            </w:r>
          </w:p>
          <w:p w:rsidR="00805115" w:rsidRDefault="00B613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:rsidR="00805115" w:rsidRDefault="00BD66A7">
            <w:pPr>
              <w:spacing w:line="360" w:lineRule="auto"/>
              <w:ind w:firstLineChars="14" w:firstLine="3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404.6</w:t>
            </w:r>
          </w:p>
        </w:tc>
      </w:tr>
      <w:tr w:rsidR="00805115">
        <w:trPr>
          <w:trHeight w:val="572"/>
        </w:trPr>
        <w:tc>
          <w:tcPr>
            <w:tcW w:w="2411" w:type="dxa"/>
            <w:vAlign w:val="center"/>
          </w:tcPr>
          <w:p w:rsidR="00805115" w:rsidRDefault="00B613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年基准经营额报价</w:t>
            </w:r>
          </w:p>
          <w:p w:rsidR="00805115" w:rsidRDefault="00B613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:rsidR="00805115" w:rsidRDefault="0080511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05115">
        <w:trPr>
          <w:trHeight w:val="608"/>
        </w:trPr>
        <w:tc>
          <w:tcPr>
            <w:tcW w:w="2411" w:type="dxa"/>
            <w:vAlign w:val="center"/>
          </w:tcPr>
          <w:p w:rsidR="00805115" w:rsidRDefault="00B6138D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:rsidR="00805115" w:rsidRDefault="00B6138D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;</w:t>
            </w:r>
          </w:p>
          <w:p w:rsidR="00805115" w:rsidRDefault="00B6138D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响应人接受经营品类经服务区审批，服务区有权对经营品类进行合理限制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;</w:t>
            </w:r>
          </w:p>
          <w:p w:rsidR="00805115" w:rsidRDefault="00B6138D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响应人对现场物业条件已经明确，如进场后需要进行调整的，相关费用由响应人自行承担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;</w:t>
            </w:r>
          </w:p>
          <w:p w:rsidR="00805115" w:rsidRDefault="00B6138D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响应人执行商业集团标准合同，并履行营业收入代收代付模式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;</w:t>
            </w:r>
          </w:p>
          <w:p w:rsidR="00805115" w:rsidRDefault="00B6138D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响应人后期中标单位应与项目合同签订单位、项目营业执照单位一致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分公司类型可视同为一致）﹔</w:t>
            </w:r>
          </w:p>
          <w:p w:rsidR="00805115" w:rsidRDefault="00B6138D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中标人自接到中标通知书之日起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天内，缴纳履约保证金（三年基准经营管理费小于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万元为一个月基准经营管理费；若三年基准经营管理费超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万元（含）的，则投标单位应承诺项目中标后，缴纳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个月的基准经营管理费作为履约保证金），并在要求时间内完成设计装修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入驻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:rsidR="00805115" w:rsidRDefault="00B6138D">
            <w:pPr>
              <w:snapToGrid w:val="0"/>
              <w:spacing w:line="300" w:lineRule="auto"/>
              <w:contextualSpacing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本次谈判最终解释权归浙江省商业集团所有。</w:t>
            </w:r>
          </w:p>
        </w:tc>
      </w:tr>
    </w:tbl>
    <w:p w:rsidR="00805115" w:rsidRDefault="00B6138D">
      <w:pPr>
        <w:adjustRightInd w:val="0"/>
        <w:snapToGrid w:val="0"/>
        <w:spacing w:line="30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谈判响应人：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>（公司全称）（盖章）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</w:t>
      </w:r>
    </w:p>
    <w:p w:rsidR="00805115" w:rsidRDefault="00B6138D">
      <w:pPr>
        <w:adjustRightInd w:val="0"/>
        <w:snapToGrid w:val="0"/>
        <w:spacing w:line="30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>法定代表人或其授权的代理人：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>（签字）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</w:t>
      </w:r>
    </w:p>
    <w:p w:rsidR="00805115" w:rsidRDefault="00B6138D">
      <w:pPr>
        <w:spacing w:line="360" w:lineRule="auto"/>
        <w:ind w:firstLineChars="200" w:firstLine="560"/>
        <w:jc w:val="right"/>
        <w:rPr>
          <w:rFonts w:ascii="仿宋_GB2312" w:eastAsia="仿宋_GB2312" w:hAnsi="宋体" w:cs="宋体"/>
          <w:b/>
          <w:bCs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</w:p>
    <w:sectPr w:rsidR="00805115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38D" w:rsidRDefault="00B6138D">
      <w:r>
        <w:separator/>
      </w:r>
    </w:p>
  </w:endnote>
  <w:endnote w:type="continuationSeparator" w:id="0">
    <w:p w:rsidR="00B6138D" w:rsidRDefault="00B6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92CA73C-8A51-4C75-8968-925987375451}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A203F1A-9C9D-453A-8BB2-C1131E5DA195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8C28263D-3FA1-4BCA-88D4-DC998287FB0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115" w:rsidRDefault="00B6138D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5115" w:rsidRDefault="0080511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115" w:rsidRDefault="00B6138D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66A7">
      <w:rPr>
        <w:rStyle w:val="a6"/>
        <w:noProof/>
      </w:rPr>
      <w:t>- 1 -</w:t>
    </w:r>
    <w:r>
      <w:rPr>
        <w:rStyle w:val="a6"/>
      </w:rPr>
      <w:fldChar w:fldCharType="end"/>
    </w:r>
  </w:p>
  <w:p w:rsidR="00805115" w:rsidRDefault="0080511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38D" w:rsidRDefault="00B6138D">
      <w:r>
        <w:separator/>
      </w:r>
    </w:p>
  </w:footnote>
  <w:footnote w:type="continuationSeparator" w:id="0">
    <w:p w:rsidR="00B6138D" w:rsidRDefault="00B61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115" w:rsidRDefault="0080511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ODg1YzljYjdiM2VjY2Y0NWVjN2I2MDA1MjU4M2IifQ=="/>
    <w:docVar w:name="KSO_WPS_MARK_KEY" w:val="c899b96a-4e62-4910-9023-b72c5abbc55c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A568A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B430C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7F68C7"/>
    <w:rsid w:val="00805115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C69C0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6138D"/>
    <w:rsid w:val="00B7673E"/>
    <w:rsid w:val="00BA1AAE"/>
    <w:rsid w:val="00BA2EB4"/>
    <w:rsid w:val="00BA7C9C"/>
    <w:rsid w:val="00BC5E4B"/>
    <w:rsid w:val="00BC6322"/>
    <w:rsid w:val="00BD66A7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667E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C22E67"/>
    <w:rsid w:val="032F60B5"/>
    <w:rsid w:val="03C0788A"/>
    <w:rsid w:val="040464D2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1615A2"/>
    <w:rsid w:val="0D3112F1"/>
    <w:rsid w:val="0DB12CAD"/>
    <w:rsid w:val="0DF262AD"/>
    <w:rsid w:val="0E44378C"/>
    <w:rsid w:val="0F621C35"/>
    <w:rsid w:val="0FA71FAD"/>
    <w:rsid w:val="10A83678"/>
    <w:rsid w:val="116C7A23"/>
    <w:rsid w:val="11FB025F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607AD1"/>
    <w:rsid w:val="207531AE"/>
    <w:rsid w:val="21585ECF"/>
    <w:rsid w:val="22D14CB0"/>
    <w:rsid w:val="22E42C35"/>
    <w:rsid w:val="231A6185"/>
    <w:rsid w:val="24E376E3"/>
    <w:rsid w:val="2567473E"/>
    <w:rsid w:val="27856069"/>
    <w:rsid w:val="27C546B8"/>
    <w:rsid w:val="28C80903"/>
    <w:rsid w:val="2A3158B9"/>
    <w:rsid w:val="2AB47951"/>
    <w:rsid w:val="2ADB2B70"/>
    <w:rsid w:val="2B1D6C02"/>
    <w:rsid w:val="2B794061"/>
    <w:rsid w:val="2B805CBA"/>
    <w:rsid w:val="2C041BF6"/>
    <w:rsid w:val="2C0C3BAB"/>
    <w:rsid w:val="2CB00903"/>
    <w:rsid w:val="2D440F13"/>
    <w:rsid w:val="2DAE5BE0"/>
    <w:rsid w:val="2DF45CF7"/>
    <w:rsid w:val="2E336106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BE90F6C"/>
    <w:rsid w:val="3C2B3544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35B159A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CE25166"/>
    <w:rsid w:val="4D4E28D6"/>
    <w:rsid w:val="4D8519A8"/>
    <w:rsid w:val="4E682A27"/>
    <w:rsid w:val="4EE97FA9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5482DE6"/>
    <w:rsid w:val="56C13162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9780B57"/>
    <w:rsid w:val="79FF6B82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6F6940-5E86-40DA-8729-C93F55E6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>China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俊</dc:creator>
  <cp:lastModifiedBy>hp</cp:lastModifiedBy>
  <cp:revision>5</cp:revision>
  <cp:lastPrinted>2023-09-21T01:47:00Z</cp:lastPrinted>
  <dcterms:created xsi:type="dcterms:W3CDTF">2021-09-16T02:19:00Z</dcterms:created>
  <dcterms:modified xsi:type="dcterms:W3CDTF">2025-11-13T05:01:00Z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02C8060ED34347C5AA5B513D1B9A74DA_13</vt:lpwstr>
  </property>
</Properties>
</file>